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28"/>
          <w:szCs w:val="28"/>
        </w:rPr>
      </w:pPr>
    </w:p>
    <w:p>
      <w:pPr>
        <w:jc w:val="center"/>
        <w:rPr>
          <w:sz w:val="44"/>
          <w:szCs w:val="44"/>
        </w:rPr>
      </w:pPr>
      <w:r>
        <w:rPr>
          <w:rFonts w:hint="eastAsia"/>
          <w:sz w:val="44"/>
          <w:szCs w:val="44"/>
        </w:rPr>
        <w:t>南通市生态环境专项资金项目申报技术服务</w:t>
      </w:r>
    </w:p>
    <w:p>
      <w:pPr>
        <w:jc w:val="center"/>
        <w:rPr>
          <w:rFonts w:ascii="宋体" w:hAnsi="宋体" w:eastAsia="宋体" w:cs="宋体"/>
          <w:b/>
          <w:sz w:val="28"/>
          <w:szCs w:val="28"/>
        </w:rPr>
      </w:pPr>
    </w:p>
    <w:p>
      <w:pPr>
        <w:autoSpaceDE w:val="0"/>
        <w:autoSpaceDN w:val="0"/>
        <w:adjustRightInd w:val="0"/>
        <w:jc w:val="center"/>
        <w:rPr>
          <w:rFonts w:ascii="宋体" w:hAnsi="宋体" w:eastAsia="宋体" w:cs="宋体"/>
          <w:b/>
          <w:bCs/>
          <w:sz w:val="72"/>
          <w:szCs w:val="84"/>
        </w:rPr>
      </w:pPr>
      <w:r>
        <w:rPr>
          <w:rFonts w:hint="eastAsia" w:ascii="宋体" w:hAnsi="宋体" w:eastAsia="宋体" w:cs="宋体"/>
          <w:b/>
          <w:bCs/>
          <w:sz w:val="72"/>
          <w:szCs w:val="84"/>
          <w:lang w:val="zh-CN"/>
        </w:rPr>
        <w:t>政府采购竞争性</w:t>
      </w:r>
    </w:p>
    <w:p>
      <w:pPr>
        <w:autoSpaceDE w:val="0"/>
        <w:autoSpaceDN w:val="0"/>
        <w:adjustRightInd w:val="0"/>
        <w:jc w:val="center"/>
        <w:rPr>
          <w:rFonts w:ascii="宋体" w:hAnsi="宋体" w:eastAsia="宋体" w:cs="宋体"/>
          <w:b/>
          <w:bCs/>
          <w:sz w:val="72"/>
          <w:szCs w:val="84"/>
        </w:rPr>
      </w:pPr>
      <w:r>
        <w:rPr>
          <w:rFonts w:hint="eastAsia" w:ascii="宋体" w:hAnsi="宋体" w:eastAsia="宋体" w:cs="宋体"/>
          <w:b/>
          <w:bCs/>
          <w:sz w:val="72"/>
          <w:szCs w:val="84"/>
          <w:lang w:val="zh-CN"/>
        </w:rPr>
        <w:t>磋商文件</w:t>
      </w:r>
    </w:p>
    <w:p>
      <w:pPr>
        <w:jc w:val="center"/>
        <w:rPr>
          <w:rFonts w:ascii="宋体" w:hAnsi="宋体" w:eastAsia="宋体" w:cs="宋体"/>
          <w:b/>
          <w:sz w:val="28"/>
          <w:szCs w:val="28"/>
        </w:rPr>
      </w:pPr>
    </w:p>
    <w:p>
      <w:pPr>
        <w:keepNext/>
        <w:keepLines/>
        <w:autoSpaceDE w:val="0"/>
        <w:autoSpaceDN w:val="0"/>
        <w:adjustRightInd w:val="0"/>
        <w:ind w:right="210"/>
        <w:jc w:val="center"/>
        <w:outlineLvl w:val="0"/>
        <w:rPr>
          <w:rFonts w:ascii="宋体" w:hAnsi="宋体" w:eastAsia="宋体" w:cs="宋体"/>
          <w:b/>
          <w:sz w:val="36"/>
          <w:szCs w:val="44"/>
        </w:rPr>
      </w:pPr>
      <w:r>
        <w:rPr>
          <w:rFonts w:hint="eastAsia" w:ascii="宋体" w:hAnsi="宋体" w:eastAsia="宋体" w:cs="宋体"/>
          <w:b/>
          <w:sz w:val="36"/>
          <w:szCs w:val="44"/>
        </w:rPr>
        <w:t>JSXDF2022092302</w:t>
      </w:r>
    </w:p>
    <w:p>
      <w:pPr>
        <w:jc w:val="center"/>
        <w:rPr>
          <w:rFonts w:ascii="宋体" w:hAnsi="宋体" w:eastAsia="宋体" w:cs="宋体"/>
          <w:b/>
          <w:sz w:val="28"/>
          <w:szCs w:val="28"/>
        </w:rPr>
      </w:pPr>
    </w:p>
    <w:p>
      <w:pPr>
        <w:autoSpaceDE w:val="0"/>
        <w:autoSpaceDN w:val="0"/>
        <w:adjustRightInd w:val="0"/>
        <w:jc w:val="center"/>
        <w:rPr>
          <w:rFonts w:ascii="宋体" w:hAnsi="宋体" w:eastAsia="宋体" w:cs="宋体"/>
          <w:kern w:val="0"/>
          <w:sz w:val="20"/>
          <w:szCs w:val="20"/>
          <w:lang w:val="zh-CN"/>
        </w:rPr>
      </w:pPr>
      <w:r>
        <w:rPr>
          <w:rFonts w:hint="eastAsia" w:ascii="宋体" w:hAnsi="宋体" w:eastAsia="宋体" w:cs="宋体"/>
          <w:kern w:val="0"/>
          <w:sz w:val="20"/>
          <w:szCs w:val="20"/>
          <w:lang w:val="zh-CN"/>
        </w:rPr>
        <w:object>
          <v:shape id="_x0000_i1025" o:spt="75" type="#_x0000_t75" style="height:126.75pt;width:167.25pt;" o:ole="t" filled="f" o:preferrelative="t" stroked="f" coordsize="21600,21600">
            <v:path/>
            <v:fill on="f" focussize="0,0"/>
            <v:stroke on="f" joinstyle="miter"/>
            <v:imagedata r:id="rId11" o:title=""/>
            <o:lock v:ext="edit" aspectratio="t"/>
            <w10:wrap type="none"/>
            <w10:anchorlock/>
          </v:shape>
          <o:OLEObject Type="Embed" ProgID="MS_ClipArt_Gallery.5" ShapeID="_x0000_i1025" DrawAspect="Content" ObjectID="_1468075725" r:id="rId10">
            <o:LockedField>false</o:LockedField>
          </o:OLEObject>
        </w:object>
      </w:r>
    </w:p>
    <w:p/>
    <w:p/>
    <w:p>
      <w:pPr>
        <w:autoSpaceDE w:val="0"/>
        <w:autoSpaceDN w:val="0"/>
        <w:adjustRightInd w:val="0"/>
        <w:ind w:firstLine="420"/>
        <w:jc w:val="center"/>
        <w:rPr>
          <w:szCs w:val="21"/>
        </w:rPr>
      </w:pPr>
    </w:p>
    <w:p>
      <w:pPr>
        <w:spacing w:line="500" w:lineRule="exact"/>
        <w:ind w:firstLine="1284" w:firstLineChars="400"/>
        <w:rPr>
          <w:rFonts w:ascii="华文中宋" w:hAnsi="华文中宋" w:eastAsia="华文中宋"/>
          <w:b/>
          <w:bCs/>
          <w:spacing w:val="20"/>
          <w:sz w:val="28"/>
          <w:szCs w:val="28"/>
        </w:rPr>
      </w:pPr>
      <w:r>
        <w:rPr>
          <w:rFonts w:hint="eastAsia" w:ascii="华文中宋" w:hAnsi="华文中宋" w:eastAsia="华文中宋"/>
          <w:b/>
          <w:bCs/>
          <w:spacing w:val="20"/>
          <w:sz w:val="28"/>
          <w:szCs w:val="28"/>
        </w:rPr>
        <w:t>采购单位</w:t>
      </w:r>
      <w:r>
        <w:rPr>
          <w:rFonts w:hint="eastAsia" w:ascii="华文中宋" w:hAnsi="华文中宋" w:eastAsia="华文中宋"/>
          <w:b/>
          <w:bCs/>
          <w:spacing w:val="20"/>
          <w:sz w:val="28"/>
          <w:szCs w:val="28"/>
          <w:u w:val="single"/>
        </w:rPr>
        <w:t>：南通市生态环境局</w:t>
      </w:r>
    </w:p>
    <w:p>
      <w:pPr>
        <w:spacing w:line="500" w:lineRule="exact"/>
        <w:jc w:val="center"/>
        <w:rPr>
          <w:rFonts w:ascii="华文中宋" w:hAnsi="华文中宋" w:eastAsia="华文中宋"/>
          <w:b/>
          <w:bCs/>
          <w:spacing w:val="20"/>
          <w:sz w:val="28"/>
          <w:szCs w:val="28"/>
        </w:rPr>
      </w:pPr>
      <w:r>
        <w:rPr>
          <w:rFonts w:hint="eastAsia" w:ascii="华文中宋" w:hAnsi="华文中宋" w:eastAsia="华文中宋"/>
          <w:b/>
          <w:bCs/>
          <w:spacing w:val="20"/>
          <w:sz w:val="28"/>
          <w:szCs w:val="28"/>
        </w:rPr>
        <w:t>代理单位</w:t>
      </w:r>
      <w:r>
        <w:rPr>
          <w:rFonts w:hint="eastAsia" w:ascii="华文中宋" w:hAnsi="华文中宋" w:eastAsia="华文中宋"/>
          <w:b/>
          <w:bCs/>
          <w:spacing w:val="20"/>
          <w:sz w:val="28"/>
          <w:szCs w:val="28"/>
          <w:u w:val="single"/>
        </w:rPr>
        <w:t>：江苏新东方工程管理咨询有限公司</w:t>
      </w:r>
    </w:p>
    <w:p>
      <w:pPr>
        <w:spacing w:line="500" w:lineRule="exact"/>
        <w:jc w:val="center"/>
        <w:rPr>
          <w:rFonts w:ascii="华文中宋" w:hAnsi="华文中宋" w:eastAsia="华文中宋"/>
          <w:b/>
          <w:bCs/>
          <w:spacing w:val="20"/>
          <w:sz w:val="28"/>
          <w:szCs w:val="28"/>
        </w:rPr>
      </w:pPr>
      <w:r>
        <w:rPr>
          <w:rFonts w:hint="eastAsia" w:ascii="华文中宋" w:hAnsi="华文中宋" w:eastAsia="华文中宋"/>
          <w:b/>
          <w:bCs/>
          <w:spacing w:val="20"/>
          <w:sz w:val="28"/>
          <w:szCs w:val="28"/>
        </w:rPr>
        <w:t>日期：</w:t>
      </w:r>
      <w:r>
        <w:rPr>
          <w:rFonts w:hint="eastAsia" w:ascii="华文中宋" w:hAnsi="华文中宋" w:eastAsia="华文中宋"/>
          <w:b/>
          <w:bCs/>
          <w:spacing w:val="20"/>
          <w:sz w:val="28"/>
          <w:szCs w:val="28"/>
          <w:u w:val="single"/>
        </w:rPr>
        <w:t>二〇二二年九月二十</w:t>
      </w:r>
      <w:r>
        <w:rPr>
          <w:rFonts w:hint="eastAsia" w:ascii="华文中宋" w:hAnsi="华文中宋" w:eastAsia="华文中宋"/>
          <w:b/>
          <w:bCs/>
          <w:spacing w:val="20"/>
          <w:sz w:val="28"/>
          <w:szCs w:val="28"/>
          <w:u w:val="single"/>
          <w:lang w:eastAsia="zh-CN"/>
        </w:rPr>
        <w:t>九</w:t>
      </w:r>
      <w:r>
        <w:rPr>
          <w:rFonts w:hint="eastAsia" w:ascii="华文中宋" w:hAnsi="华文中宋" w:eastAsia="华文中宋"/>
          <w:b/>
          <w:bCs/>
          <w:spacing w:val="20"/>
          <w:sz w:val="28"/>
          <w:szCs w:val="28"/>
          <w:u w:val="single"/>
        </w:rPr>
        <w:t>日</w:t>
      </w:r>
    </w:p>
    <w:p>
      <w:pPr>
        <w:rPr>
          <w:rFonts w:ascii="宋体" w:hAnsi="宋体" w:eastAsia="宋体" w:cs="宋体"/>
          <w:snapToGrid w:val="0"/>
          <w:sz w:val="26"/>
          <w:szCs w:val="28"/>
          <w:u w:val="single"/>
        </w:rPr>
      </w:pPr>
      <w:r>
        <w:rPr>
          <w:rFonts w:hint="eastAsia" w:ascii="宋体" w:hAnsi="宋体" w:eastAsia="宋体" w:cs="宋体"/>
          <w:sz w:val="44"/>
          <w:szCs w:val="44"/>
        </w:rPr>
        <w:br w:type="page"/>
      </w:r>
    </w:p>
    <w:p>
      <w:pPr>
        <w:autoSpaceDE w:val="0"/>
        <w:autoSpaceDN w:val="0"/>
        <w:adjustRightInd w:val="0"/>
        <w:spacing w:beforeLines="100" w:afterLines="100"/>
        <w:jc w:val="center"/>
        <w:outlineLvl w:val="0"/>
        <w:rPr>
          <w:rFonts w:ascii="宋体" w:hAnsi="宋体" w:eastAsia="宋体" w:cs="宋体"/>
          <w:b/>
          <w:bCs/>
          <w:sz w:val="52"/>
          <w:szCs w:val="32"/>
          <w:lang w:val="zh-CN"/>
        </w:rPr>
      </w:pPr>
      <w:r>
        <w:rPr>
          <w:rFonts w:hint="eastAsia" w:ascii="宋体" w:hAnsi="宋体" w:eastAsia="宋体" w:cs="宋体"/>
          <w:b/>
          <w:bCs/>
          <w:sz w:val="52"/>
          <w:szCs w:val="32"/>
          <w:lang w:val="zh-CN"/>
        </w:rPr>
        <w:t>目录</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第一部分  竞争性磋商公告</w:t>
      </w:r>
    </w:p>
    <w:p>
      <w:pPr>
        <w:widowControl/>
        <w:shd w:val="clear" w:color="auto" w:fill="FFFFFF"/>
        <w:spacing w:beforeLines="100" w:afterLines="100"/>
        <w:ind w:firstLine="643" w:firstLineChars="200"/>
        <w:rPr>
          <w:rFonts w:ascii="宋体" w:hAnsi="宋体" w:eastAsia="宋体" w:cs="宋体"/>
          <w:b/>
          <w:sz w:val="32"/>
          <w:szCs w:val="28"/>
        </w:rPr>
      </w:pPr>
      <w:r>
        <w:rPr>
          <w:rFonts w:hint="eastAsia" w:ascii="宋体" w:hAnsi="宋体" w:eastAsia="宋体" w:cs="宋体"/>
          <w:b/>
          <w:sz w:val="32"/>
          <w:szCs w:val="28"/>
        </w:rPr>
        <w:t>第二部分  磋商须知</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第三部分  项目需求</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第四部分  磋商程序和内容</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第五部分  合同签订与验收付款</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第六部分  质疑提出和处理</w:t>
      </w:r>
    </w:p>
    <w:p>
      <w:pPr>
        <w:widowControl/>
        <w:shd w:val="clear" w:color="auto" w:fill="FFFFFF"/>
        <w:spacing w:beforeLines="100" w:afterLines="100"/>
        <w:ind w:firstLine="643" w:firstLineChars="200"/>
        <w:jc w:val="left"/>
        <w:rPr>
          <w:rFonts w:ascii="宋体" w:hAnsi="宋体" w:eastAsia="宋体" w:cs="宋体"/>
          <w:b/>
          <w:sz w:val="32"/>
          <w:szCs w:val="28"/>
        </w:rPr>
      </w:pPr>
      <w:r>
        <w:rPr>
          <w:rFonts w:hint="eastAsia" w:ascii="宋体" w:hAnsi="宋体" w:eastAsia="宋体" w:cs="宋体"/>
          <w:b/>
          <w:sz w:val="32"/>
          <w:szCs w:val="28"/>
        </w:rPr>
        <w:t>第七部分  响应文件组成</w:t>
      </w:r>
    </w:p>
    <w:p>
      <w:pPr>
        <w:widowControl/>
        <w:jc w:val="left"/>
        <w:rPr>
          <w:rFonts w:ascii="宋体" w:hAnsi="宋体" w:eastAsia="宋体" w:cs="宋体"/>
          <w:sz w:val="28"/>
          <w:szCs w:val="28"/>
        </w:rPr>
      </w:pPr>
      <w:r>
        <w:rPr>
          <w:rFonts w:hint="eastAsia" w:ascii="宋体" w:hAnsi="宋体" w:eastAsia="宋体" w:cs="宋体"/>
          <w:sz w:val="28"/>
          <w:szCs w:val="28"/>
        </w:rPr>
        <w:br w:type="page"/>
      </w:r>
    </w:p>
    <w:p>
      <w:pPr>
        <w:pStyle w:val="5"/>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 xml:space="preserve">第一部分 </w:t>
      </w:r>
      <w:bookmarkStart w:id="0" w:name="_Hlk81297243"/>
      <w:bookmarkStart w:id="1" w:name="_Hlk103330607"/>
      <w:r>
        <w:rPr>
          <w:rFonts w:hint="eastAsia" w:ascii="宋体" w:hAnsi="宋体" w:eastAsia="宋体" w:cs="宋体"/>
          <w:sz w:val="36"/>
          <w:szCs w:val="36"/>
        </w:rPr>
        <w:t>竞争性磋商公告</w:t>
      </w:r>
    </w:p>
    <w:bookmarkEnd w:id="0"/>
    <w:p>
      <w:pPr>
        <w:ind w:firstLine="480" w:firstLineChars="200"/>
        <w:rPr>
          <w:rFonts w:ascii="宋体" w:hAnsi="宋体" w:eastAsia="宋体" w:cs="宋体"/>
          <w:szCs w:val="24"/>
        </w:rPr>
      </w:pPr>
      <w:bookmarkStart w:id="2" w:name="OLE_LINK2"/>
      <w:bookmarkStart w:id="3" w:name="OLE_LINK3"/>
      <w:r>
        <w:rPr>
          <w:rFonts w:hint="eastAsia" w:ascii="宋体" w:hAnsi="宋体" w:eastAsia="宋体" w:cs="宋体"/>
          <w:szCs w:val="24"/>
        </w:rPr>
        <w:t>江苏新东方工程管理咨询有限公司（以下简称“代理机构”）受</w:t>
      </w:r>
      <w:r>
        <w:rPr>
          <w:kern w:val="0"/>
        </w:rPr>
        <w:t>南通市生态环境局</w:t>
      </w:r>
      <w:r>
        <w:rPr>
          <w:rFonts w:hint="eastAsia" w:ascii="宋体" w:hAnsi="宋体" w:eastAsia="宋体" w:cs="宋体"/>
          <w:szCs w:val="24"/>
        </w:rPr>
        <w:t>委托，对其所需的南通市生态环境专项资金项目申报技术服务以竞争性磋商方式组织采购。现公告如下：</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项目概况</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南通市生态环境专项资金项目申报技术服务的潜在供应商应在“</w:t>
      </w:r>
      <w:r>
        <w:rPr>
          <w:kern w:val="0"/>
        </w:rPr>
        <w:t>南通市生态环境局</w:t>
      </w:r>
      <w:r>
        <w:rPr>
          <w:rFonts w:hint="eastAsia"/>
          <w:kern w:val="0"/>
        </w:rPr>
        <w:t>官</w:t>
      </w:r>
      <w:r>
        <w:rPr>
          <w:rFonts w:hint="eastAsia" w:ascii="宋体" w:hAnsi="宋体" w:eastAsia="宋体" w:cs="宋体"/>
          <w:szCs w:val="24"/>
        </w:rPr>
        <w:t>网”获取采购文件，并于</w:t>
      </w:r>
      <w:r>
        <w:rPr>
          <w:rFonts w:hint="eastAsia" w:ascii="宋体" w:hAnsi="宋体" w:eastAsia="宋体" w:cs="宋体"/>
          <w:color w:val="FF0000"/>
          <w:szCs w:val="24"/>
          <w:u w:val="single"/>
        </w:rPr>
        <w:t>2022年10月</w:t>
      </w:r>
      <w:r>
        <w:rPr>
          <w:rFonts w:hint="eastAsia" w:ascii="宋体" w:hAnsi="宋体" w:eastAsia="宋体" w:cs="宋体"/>
          <w:color w:val="FF0000"/>
          <w:szCs w:val="24"/>
          <w:highlight w:val="none"/>
          <w:u w:val="single"/>
          <w:lang w:val="en-US" w:eastAsia="zh-CN"/>
        </w:rPr>
        <w:t>10</w:t>
      </w:r>
      <w:r>
        <w:rPr>
          <w:rFonts w:hint="eastAsia" w:ascii="宋体" w:hAnsi="宋体" w:eastAsia="宋体" w:cs="宋体"/>
          <w:color w:val="FF0000"/>
          <w:szCs w:val="24"/>
          <w:highlight w:val="none"/>
          <w:u w:val="single"/>
        </w:rPr>
        <w:t>日</w:t>
      </w:r>
      <w:r>
        <w:rPr>
          <w:rFonts w:hint="eastAsia" w:ascii="宋体" w:hAnsi="宋体" w:eastAsia="宋体" w:cs="宋体"/>
          <w:color w:val="FF0000"/>
          <w:szCs w:val="24"/>
          <w:highlight w:val="none"/>
          <w:u w:val="single"/>
          <w:lang w:val="en-US" w:eastAsia="zh-CN"/>
        </w:rPr>
        <w:t>14</w:t>
      </w:r>
      <w:r>
        <w:rPr>
          <w:rFonts w:hint="eastAsia" w:ascii="宋体" w:hAnsi="宋体" w:eastAsia="宋体" w:cs="宋体"/>
          <w:color w:val="FF0000"/>
          <w:szCs w:val="24"/>
          <w:highlight w:val="none"/>
          <w:u w:val="single"/>
        </w:rPr>
        <w:t>时</w:t>
      </w:r>
      <w:r>
        <w:rPr>
          <w:rFonts w:hint="eastAsia" w:ascii="宋体" w:hAnsi="宋体" w:eastAsia="宋体" w:cs="宋体"/>
          <w:color w:val="FF0000"/>
          <w:szCs w:val="24"/>
          <w:highlight w:val="none"/>
          <w:u w:val="single"/>
          <w:lang w:val="en-US" w:eastAsia="zh-CN"/>
        </w:rPr>
        <w:t>00</w:t>
      </w:r>
      <w:r>
        <w:rPr>
          <w:rFonts w:hint="eastAsia" w:ascii="宋体" w:hAnsi="宋体" w:eastAsia="宋体" w:cs="宋体"/>
          <w:color w:val="FF0000"/>
          <w:szCs w:val="24"/>
          <w:highlight w:val="none"/>
          <w:u w:val="single"/>
        </w:rPr>
        <w:t>分</w:t>
      </w:r>
      <w:r>
        <w:rPr>
          <w:rFonts w:hint="eastAsia" w:ascii="宋体" w:hAnsi="宋体" w:eastAsia="宋体" w:cs="宋体"/>
          <w:szCs w:val="24"/>
        </w:rPr>
        <w:t>（北京时间）前递交响应文件。</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一、项目基本情况</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项目编号：JSXDF2022092302</w:t>
      </w:r>
    </w:p>
    <w:p>
      <w:pPr>
        <w:ind w:firstLine="480" w:firstLineChars="200"/>
        <w:rPr>
          <w:rFonts w:ascii="宋体" w:hAnsi="宋体" w:eastAsia="宋体" w:cs="宋体"/>
          <w:szCs w:val="24"/>
        </w:rPr>
      </w:pPr>
      <w:r>
        <w:rPr>
          <w:rFonts w:hint="eastAsia" w:ascii="宋体" w:hAnsi="宋体" w:eastAsia="宋体" w:cs="宋体"/>
          <w:szCs w:val="24"/>
        </w:rPr>
        <w:t>项目名称：南通市生态环境专项资金项目申报技术服务</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采购方式：竞争性磋商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预算金额：</w:t>
      </w:r>
      <w:r>
        <w:rPr>
          <w:rFonts w:hint="eastAsia" w:ascii="宋体" w:hAnsi="宋体" w:eastAsia="宋体" w:cs="宋体"/>
          <w:b/>
          <w:bCs/>
          <w:szCs w:val="24"/>
        </w:rPr>
        <w:t>20万元，超过采购预算的为无效响应文件。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采购需求：详见第三部分，请仔细研究。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合同履行期限：2022年11月1日—2023年10月31日</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本项目不接受联合体。</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二、申请人的资格要求：</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1.满足《中华人民共和国政府采购法》第二十二条规定：</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（1）具有独立承担民事责任的能力；</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（2）具有良好的商业信誉和健全的财务会计制度；</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（3）具有履行合同所必需的设备和专业技术能力；</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（4）有依法缴纳税收和社会保障资金的良好记录；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（5）参加政府采购活动前三年内，在经营活动中没有重大违法记录；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（6）法律、行政法规规定的其他条件。</w:t>
      </w:r>
    </w:p>
    <w:p>
      <w:pPr>
        <w:ind w:firstLine="480" w:firstLineChars="200"/>
        <w:rPr>
          <w:rFonts w:ascii="宋体" w:hAnsi="宋体" w:eastAsia="宋体" w:cs="宋体"/>
          <w:szCs w:val="24"/>
        </w:rPr>
      </w:pPr>
      <w:r>
        <w:rPr>
          <w:rFonts w:hint="eastAsia" w:ascii="宋体" w:hAnsi="宋体" w:eastAsia="宋体" w:cs="宋体"/>
          <w:szCs w:val="24"/>
        </w:rPr>
        <w:t>2.本项目的特定资格要求：</w:t>
      </w:r>
    </w:p>
    <w:p>
      <w:pPr>
        <w:ind w:firstLine="480" w:firstLineChars="200"/>
        <w:rPr>
          <w:rFonts w:ascii="宋体" w:hAnsi="宋体" w:eastAsia="宋体" w:cs="宋体"/>
          <w:szCs w:val="24"/>
        </w:rPr>
      </w:pPr>
      <w:r>
        <w:rPr>
          <w:rFonts w:hint="eastAsia" w:ascii="宋体" w:hAnsi="宋体" w:eastAsia="宋体" w:cs="宋体"/>
          <w:szCs w:val="24"/>
        </w:rPr>
        <w:t>（1）供应商未被“信用中国”网站列入失信被执行人、重大税收违法案件当事人名单、政府采购严重失信行为记录名单。</w:t>
      </w:r>
    </w:p>
    <w:p>
      <w:pPr>
        <w:ind w:firstLine="480" w:firstLineChars="200"/>
        <w:rPr>
          <w:rFonts w:ascii="宋体" w:hAnsi="宋体" w:eastAsia="宋体" w:cs="宋体"/>
          <w:szCs w:val="24"/>
        </w:rPr>
      </w:pPr>
      <w:r>
        <w:rPr>
          <w:rFonts w:hint="eastAsia" w:ascii="宋体" w:hAnsi="宋体" w:eastAsia="宋体" w:cs="宋体"/>
          <w:szCs w:val="24"/>
        </w:rPr>
        <w:t>（2）项目的特定资格要求：无</w:t>
      </w:r>
    </w:p>
    <w:p>
      <w:pPr>
        <w:ind w:firstLine="480" w:firstLineChars="200"/>
        <w:rPr>
          <w:rFonts w:ascii="宋体" w:hAnsi="宋体" w:eastAsia="宋体" w:cs="宋体"/>
          <w:szCs w:val="24"/>
        </w:rPr>
      </w:pPr>
      <w:r>
        <w:rPr>
          <w:rFonts w:hint="eastAsia" w:ascii="宋体" w:hAnsi="宋体" w:eastAsia="宋体" w:cs="宋体"/>
          <w:szCs w:val="24"/>
        </w:rPr>
        <w:t>（3）是否专门面向中小企业：</w:t>
      </w:r>
      <w:r>
        <w:rPr>
          <w:rFonts w:hint="eastAsia" w:ascii="宋体" w:hAnsi="宋体" w:eastAsia="宋体" w:cs="宋体"/>
          <w:color w:val="FF0000"/>
          <w:szCs w:val="24"/>
        </w:rPr>
        <w:t>是</w:t>
      </w:r>
    </w:p>
    <w:p>
      <w:pPr>
        <w:widowControl/>
        <w:ind w:firstLine="480" w:firstLineChars="200"/>
        <w:jc w:val="left"/>
        <w:rPr>
          <w:rFonts w:ascii="宋体" w:hAnsi="宋体" w:eastAsia="宋体" w:cs="宋体"/>
          <w:szCs w:val="24"/>
        </w:rPr>
      </w:pPr>
      <w:r>
        <w:rPr>
          <w:rFonts w:hint="eastAsia" w:ascii="宋体" w:hAnsi="宋体" w:eastAsia="宋体" w:cs="宋体"/>
          <w:szCs w:val="24"/>
        </w:rPr>
        <w:t>（4）不接受联合体投标。</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三、获取采购文件和供应商响应</w:t>
      </w:r>
    </w:p>
    <w:p>
      <w:pPr>
        <w:shd w:val="clear" w:color="auto" w:fill="FFFFFF"/>
        <w:ind w:firstLine="480" w:firstLineChars="200"/>
      </w:pPr>
      <w:r>
        <w:t>1、时间：</w:t>
      </w:r>
      <w:r>
        <w:rPr>
          <w:kern w:val="0"/>
          <w:u w:val="single"/>
        </w:rPr>
        <w:t>自本磋商公告发布之日起</w:t>
      </w:r>
      <w:r>
        <w:rPr>
          <w:kern w:val="0"/>
        </w:rPr>
        <w:t>。</w:t>
      </w:r>
    </w:p>
    <w:p>
      <w:pPr>
        <w:ind w:firstLine="480" w:firstLineChars="200"/>
        <w:jc w:val="left"/>
        <w:rPr>
          <w:rFonts w:ascii="宋体" w:hAnsi="宋体" w:eastAsia="宋体" w:cs="宋体"/>
          <w:b/>
          <w:szCs w:val="24"/>
        </w:rPr>
      </w:pPr>
      <w:bookmarkStart w:id="4" w:name="_Toc387526173"/>
      <w:bookmarkStart w:id="5" w:name="_Toc387526369"/>
      <w:bookmarkStart w:id="6" w:name="_Toc387526277"/>
      <w:r>
        <w:t>2、</w:t>
      </w:r>
      <w:r>
        <w:rPr>
          <w:kern w:val="0"/>
        </w:rPr>
        <w:t>方式：</w:t>
      </w:r>
      <w:r>
        <w:rPr>
          <w:kern w:val="0"/>
          <w:u w:val="single"/>
        </w:rPr>
        <w:t>本项目</w:t>
      </w:r>
      <w:r>
        <w:rPr>
          <w:u w:val="single"/>
        </w:rPr>
        <w:t>资格审查采用资格后审方式，无报名环节，</w:t>
      </w:r>
      <w:r>
        <w:rPr>
          <w:color w:val="000000"/>
          <w:u w:val="single"/>
        </w:rPr>
        <w:t>供应商直接从南通市生态环境局官网“信</w:t>
      </w:r>
      <w:r>
        <w:rPr>
          <w:color w:val="000000"/>
          <w:kern w:val="0"/>
          <w:u w:val="single"/>
        </w:rPr>
        <w:t>息公开”栏</w:t>
      </w:r>
      <w:r>
        <w:rPr>
          <w:kern w:val="0"/>
        </w:rPr>
        <w:t>自行下载磋商文件、答疑等磋商资料。</w:t>
      </w:r>
      <w:bookmarkEnd w:id="4"/>
      <w:bookmarkEnd w:id="5"/>
      <w:bookmarkEnd w:id="6"/>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售价：0元</w:t>
      </w:r>
      <w:r>
        <w:rPr>
          <w:rFonts w:hint="eastAsia" w:ascii="宋体" w:hAnsi="宋体" w:eastAsia="宋体" w:cs="宋体"/>
          <w:bCs/>
          <w:szCs w:val="24"/>
        </w:rPr>
        <w:t>。</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四、响应文件提交</w:t>
      </w:r>
    </w:p>
    <w:p>
      <w:pPr>
        <w:widowControl/>
        <w:shd w:val="clear" w:color="auto" w:fill="FFFFFF"/>
        <w:ind w:firstLine="480" w:firstLineChars="200"/>
        <w:jc w:val="left"/>
        <w:rPr>
          <w:rFonts w:ascii="宋体" w:hAnsi="宋体" w:eastAsia="宋体" w:cs="宋体"/>
          <w:szCs w:val="24"/>
          <w:u w:val="single"/>
        </w:rPr>
      </w:pPr>
      <w:r>
        <w:rPr>
          <w:rFonts w:hint="eastAsia" w:ascii="宋体" w:hAnsi="宋体" w:eastAsia="宋体" w:cs="宋体"/>
          <w:szCs w:val="24"/>
        </w:rPr>
        <w:t>1.截止时间：</w:t>
      </w:r>
      <w:r>
        <w:rPr>
          <w:rFonts w:hint="eastAsia" w:ascii="宋体" w:hAnsi="宋体" w:eastAsia="宋体" w:cs="宋体"/>
          <w:color w:val="FF0000"/>
          <w:szCs w:val="24"/>
        </w:rPr>
        <w:t>2022年10月</w:t>
      </w:r>
      <w:r>
        <w:rPr>
          <w:rFonts w:hint="eastAsia" w:ascii="宋体" w:hAnsi="宋体" w:eastAsia="宋体" w:cs="宋体"/>
          <w:color w:val="FF0000"/>
          <w:szCs w:val="24"/>
          <w:highlight w:val="none"/>
          <w:lang w:val="en-US" w:eastAsia="zh-CN"/>
        </w:rPr>
        <w:t>10</w:t>
      </w:r>
      <w:r>
        <w:rPr>
          <w:rFonts w:hint="eastAsia" w:ascii="宋体" w:hAnsi="宋体" w:eastAsia="宋体" w:cs="宋体"/>
          <w:color w:val="FF0000"/>
          <w:szCs w:val="24"/>
          <w:highlight w:val="none"/>
        </w:rPr>
        <w:t>日</w:t>
      </w:r>
      <w:r>
        <w:rPr>
          <w:rFonts w:hint="eastAsia" w:ascii="宋体" w:hAnsi="宋体" w:eastAsia="宋体" w:cs="宋体"/>
          <w:color w:val="FF0000"/>
          <w:szCs w:val="24"/>
          <w:highlight w:val="none"/>
          <w:lang w:val="en-US" w:eastAsia="zh-CN"/>
        </w:rPr>
        <w:t>14</w:t>
      </w:r>
      <w:r>
        <w:rPr>
          <w:rFonts w:hint="eastAsia" w:ascii="宋体" w:hAnsi="宋体" w:eastAsia="宋体" w:cs="宋体"/>
          <w:color w:val="FF0000"/>
          <w:szCs w:val="24"/>
          <w:highlight w:val="none"/>
        </w:rPr>
        <w:t>时</w:t>
      </w:r>
      <w:r>
        <w:rPr>
          <w:rFonts w:hint="eastAsia" w:ascii="宋体" w:hAnsi="宋体" w:eastAsia="宋体" w:cs="宋体"/>
          <w:color w:val="FF0000"/>
          <w:szCs w:val="24"/>
          <w:highlight w:val="none"/>
          <w:lang w:val="en-US" w:eastAsia="zh-CN"/>
        </w:rPr>
        <w:t>00</w:t>
      </w:r>
      <w:r>
        <w:rPr>
          <w:rFonts w:hint="eastAsia" w:ascii="宋体" w:hAnsi="宋体" w:eastAsia="宋体" w:cs="宋体"/>
          <w:color w:val="FF0000"/>
          <w:szCs w:val="24"/>
          <w:highlight w:val="none"/>
        </w:rPr>
        <w:t>分</w:t>
      </w:r>
      <w:r>
        <w:rPr>
          <w:rFonts w:hint="eastAsia" w:ascii="宋体" w:hAnsi="宋体" w:eastAsia="宋体" w:cs="宋体"/>
          <w:szCs w:val="24"/>
        </w:rPr>
        <w:t>（北京时间）</w:t>
      </w:r>
    </w:p>
    <w:p>
      <w:pPr>
        <w:widowControl/>
        <w:ind w:firstLine="480" w:firstLineChars="200"/>
        <w:jc w:val="left"/>
        <w:rPr>
          <w:rFonts w:ascii="宋体" w:hAnsi="宋体" w:eastAsia="宋体" w:cs="宋体"/>
          <w:szCs w:val="24"/>
        </w:rPr>
      </w:pPr>
      <w:r>
        <w:rPr>
          <w:rFonts w:hint="eastAsia" w:ascii="宋体" w:hAnsi="宋体" w:eastAsia="宋体" w:cs="宋体"/>
          <w:szCs w:val="24"/>
        </w:rPr>
        <w:t>2.地点：</w:t>
      </w:r>
      <w:r>
        <w:rPr>
          <w:bCs/>
          <w:u w:val="single"/>
        </w:rPr>
        <w:t>南通市崇川区崇文路2号21楼2115会议室，</w:t>
      </w:r>
      <w:r>
        <w:rPr>
          <w:rFonts w:hint="eastAsia" w:ascii="宋体" w:hAnsi="宋体" w:eastAsia="宋体" w:cs="宋体"/>
          <w:szCs w:val="24"/>
        </w:rPr>
        <w:t>（若有调整另行通知）。</w:t>
      </w:r>
    </w:p>
    <w:p>
      <w:pPr>
        <w:widowControl/>
        <w:ind w:firstLine="482" w:firstLineChars="200"/>
        <w:jc w:val="left"/>
        <w:rPr>
          <w:rFonts w:ascii="宋体" w:hAnsi="宋体" w:eastAsia="宋体" w:cs="宋体"/>
          <w:szCs w:val="24"/>
        </w:rPr>
      </w:pPr>
      <w:r>
        <w:rPr>
          <w:b/>
          <w:kern w:val="0"/>
        </w:rPr>
        <w:t>特别提醒：</w:t>
      </w:r>
      <w:r>
        <w:rPr>
          <w:kern w:val="0"/>
        </w:rPr>
        <w:t>在疫情防控期间严格执行登记问询制度，参加本项目投标的人员必须携带有效身份证件，规范佩戴口罩，接受实名登记，同时提供行程码、苏康码</w:t>
      </w:r>
      <w:r>
        <w:rPr>
          <w:rFonts w:hint="eastAsia"/>
          <w:kern w:val="0"/>
        </w:rPr>
        <w:t>、48</w:t>
      </w:r>
      <w:r>
        <w:rPr>
          <w:kern w:val="0"/>
        </w:rPr>
        <w:t>小时内有效核酸检测报告。参加投标人员</w:t>
      </w:r>
      <w:r>
        <w:rPr>
          <w:rFonts w:hint="eastAsia"/>
          <w:kern w:val="0"/>
        </w:rPr>
        <w:t>的</w:t>
      </w:r>
      <w:r>
        <w:rPr>
          <w:kern w:val="0"/>
        </w:rPr>
        <w:t>行程码、苏康码</w:t>
      </w:r>
      <w:r>
        <w:rPr>
          <w:rFonts w:hint="eastAsia"/>
          <w:kern w:val="0"/>
        </w:rPr>
        <w:t>须为不带“*”的</w:t>
      </w:r>
      <w:r>
        <w:rPr>
          <w:kern w:val="0"/>
        </w:rPr>
        <w:t>“绿码”</w:t>
      </w:r>
      <w:r>
        <w:rPr>
          <w:rFonts w:hint="eastAsia"/>
          <w:kern w:val="0"/>
        </w:rPr>
        <w:t>，</w:t>
      </w:r>
      <w:r>
        <w:rPr>
          <w:kern w:val="0"/>
        </w:rPr>
        <w:t>核酸检测报告阴性方能参加开标。请自觉服从和配合现场工作人员调度安排，并在交易活动现场注意与他人保持安全距离、减少逗留时间。</w:t>
      </w:r>
      <w:r>
        <w:rPr>
          <w:rFonts w:hint="eastAsia"/>
          <w:kern w:val="0"/>
        </w:rPr>
        <w:t>投标供应商须严格执行南通市疾病预防控制中心和新冠肺炎疫情防控指挥部有关疫情防控最新要求，做好疫情防控工作。</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五、开启</w:t>
      </w:r>
    </w:p>
    <w:p>
      <w:pPr>
        <w:widowControl/>
        <w:shd w:val="clear" w:color="auto" w:fill="FFFFFF"/>
        <w:ind w:firstLine="480" w:firstLineChars="200"/>
        <w:jc w:val="left"/>
        <w:rPr>
          <w:rFonts w:ascii="宋体" w:hAnsi="宋体" w:eastAsia="宋体" w:cs="宋体"/>
          <w:szCs w:val="24"/>
          <w:u w:val="single"/>
        </w:rPr>
      </w:pPr>
      <w:r>
        <w:rPr>
          <w:rFonts w:hint="eastAsia" w:ascii="宋体" w:hAnsi="宋体" w:eastAsia="宋体" w:cs="宋体"/>
          <w:szCs w:val="24"/>
        </w:rPr>
        <w:t>时间：</w:t>
      </w:r>
      <w:r>
        <w:rPr>
          <w:rFonts w:hint="eastAsia" w:ascii="宋体" w:hAnsi="宋体" w:eastAsia="宋体" w:cs="宋体"/>
          <w:color w:val="FF0000"/>
          <w:szCs w:val="24"/>
        </w:rPr>
        <w:t>2022年</w:t>
      </w:r>
      <w:r>
        <w:rPr>
          <w:rFonts w:hint="eastAsia" w:ascii="宋体" w:hAnsi="宋体" w:eastAsia="宋体" w:cs="宋体"/>
          <w:color w:val="FF0000"/>
          <w:szCs w:val="24"/>
          <w:highlight w:val="none"/>
          <w:lang w:val="en-US" w:eastAsia="zh-CN"/>
        </w:rPr>
        <w:t>10</w:t>
      </w:r>
      <w:r>
        <w:rPr>
          <w:rFonts w:hint="eastAsia" w:ascii="宋体" w:hAnsi="宋体" w:eastAsia="宋体" w:cs="宋体"/>
          <w:color w:val="FF0000"/>
          <w:szCs w:val="24"/>
          <w:highlight w:val="none"/>
        </w:rPr>
        <w:t>月10日</w:t>
      </w:r>
      <w:r>
        <w:rPr>
          <w:rFonts w:hint="eastAsia" w:ascii="宋体" w:hAnsi="宋体" w:eastAsia="宋体" w:cs="宋体"/>
          <w:color w:val="FF0000"/>
          <w:szCs w:val="24"/>
          <w:highlight w:val="none"/>
          <w:lang w:val="en-US" w:eastAsia="zh-CN"/>
        </w:rPr>
        <w:t>14</w:t>
      </w:r>
      <w:r>
        <w:rPr>
          <w:rFonts w:hint="eastAsia" w:ascii="宋体" w:hAnsi="宋体" w:eastAsia="宋体" w:cs="宋体"/>
          <w:color w:val="FF0000"/>
          <w:szCs w:val="24"/>
          <w:highlight w:val="none"/>
        </w:rPr>
        <w:t>时</w:t>
      </w:r>
      <w:r>
        <w:rPr>
          <w:rFonts w:hint="eastAsia" w:ascii="宋体" w:hAnsi="宋体" w:eastAsia="宋体" w:cs="宋体"/>
          <w:color w:val="FF0000"/>
          <w:szCs w:val="24"/>
          <w:highlight w:val="none"/>
          <w:lang w:val="en-US" w:eastAsia="zh-CN"/>
        </w:rPr>
        <w:t>00</w:t>
      </w:r>
      <w:r>
        <w:rPr>
          <w:rFonts w:hint="eastAsia" w:ascii="宋体" w:hAnsi="宋体" w:eastAsia="宋体" w:cs="宋体"/>
          <w:color w:val="FF0000"/>
          <w:szCs w:val="24"/>
          <w:highlight w:val="none"/>
        </w:rPr>
        <w:t>分</w:t>
      </w:r>
      <w:r>
        <w:rPr>
          <w:rFonts w:hint="eastAsia" w:ascii="宋体" w:hAnsi="宋体" w:eastAsia="宋体" w:cs="宋体"/>
          <w:szCs w:val="24"/>
        </w:rPr>
        <w:t>（北京时间）</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地点：</w:t>
      </w:r>
      <w:r>
        <w:rPr>
          <w:bCs/>
          <w:highlight w:val="none"/>
          <w:u w:val="single"/>
        </w:rPr>
        <w:t>南通市崇川区崇文路2号21楼2115会议室</w:t>
      </w:r>
      <w:r>
        <w:rPr>
          <w:rFonts w:hint="eastAsia" w:ascii="宋体" w:hAnsi="宋体" w:eastAsia="宋体" w:cs="宋体"/>
          <w:szCs w:val="24"/>
        </w:rPr>
        <w:t>（若有调整，招标代理机构将另行通知）。</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六、公告期限</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自本公告发布之日起3个工作日。</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七、对本次采购提出询问，请按以下方式联系。</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1.采购人信息</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名称：</w:t>
      </w:r>
      <w:r>
        <w:rPr>
          <w:kern w:val="0"/>
        </w:rPr>
        <w:t>南通市生态环境局</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地址：</w:t>
      </w:r>
      <w:r>
        <w:rPr>
          <w:kern w:val="0"/>
        </w:rPr>
        <w:t>南通市崇川区崇文路2号</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联系方式：张女士（电话：0513-59002799）</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2.采购代理机构信息</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名 称：江苏新东方工程管理咨询有限公司</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地址：南通市崇川区永扬路9号永和大厦4幢13层</w:t>
      </w:r>
    </w:p>
    <w:p>
      <w:pPr>
        <w:widowControl/>
        <w:shd w:val="clear" w:color="auto" w:fill="FFFFFF"/>
        <w:ind w:firstLine="480" w:firstLineChars="200"/>
        <w:jc w:val="left"/>
        <w:rPr>
          <w:rFonts w:ascii="宋体" w:hAnsi="宋体" w:eastAsia="宋体" w:cs="宋体"/>
          <w:sz w:val="28"/>
          <w:szCs w:val="28"/>
        </w:rPr>
      </w:pPr>
      <w:r>
        <w:rPr>
          <w:rFonts w:hint="eastAsia" w:ascii="宋体" w:hAnsi="宋体" w:eastAsia="宋体" w:cs="宋体"/>
          <w:szCs w:val="24"/>
        </w:rPr>
        <w:t>联系方式：张女士（电话：15996553483）</w:t>
      </w:r>
      <w:bookmarkEnd w:id="1"/>
      <w:bookmarkEnd w:id="2"/>
      <w:bookmarkEnd w:id="3"/>
    </w:p>
    <w:p>
      <w:pPr>
        <w:widowControl/>
        <w:jc w:val="left"/>
        <w:rPr>
          <w:rFonts w:ascii="宋体" w:hAnsi="宋体" w:eastAsia="宋体" w:cs="宋体"/>
          <w:sz w:val="28"/>
          <w:szCs w:val="28"/>
        </w:rPr>
      </w:pPr>
      <w:r>
        <w:rPr>
          <w:rFonts w:hint="eastAsia" w:ascii="宋体" w:hAnsi="宋体" w:eastAsia="宋体" w:cs="宋体"/>
          <w:sz w:val="28"/>
          <w:szCs w:val="28"/>
        </w:rPr>
        <w:br w:type="page"/>
      </w:r>
    </w:p>
    <w:p>
      <w:pPr>
        <w:pStyle w:val="5"/>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第二部分 磋商须知</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一、本磋商文件由代理机构解释</w:t>
      </w:r>
    </w:p>
    <w:p>
      <w:pPr>
        <w:widowControl/>
        <w:shd w:val="clear" w:color="auto" w:fill="FFFFFF"/>
        <w:ind w:firstLine="480" w:firstLineChars="200"/>
        <w:jc w:val="left"/>
        <w:rPr>
          <w:rFonts w:ascii="宋体" w:hAnsi="宋体" w:eastAsia="宋体" w:cs="宋体"/>
          <w:b/>
          <w:color w:val="FF0000"/>
          <w:szCs w:val="24"/>
        </w:rPr>
      </w:pPr>
      <w:r>
        <w:rPr>
          <w:rFonts w:hint="eastAsia" w:ascii="宋体" w:hAnsi="宋体" w:eastAsia="宋体" w:cs="宋体"/>
          <w:szCs w:val="24"/>
        </w:rPr>
        <w:t>1</w:t>
      </w:r>
      <w:r>
        <w:rPr>
          <w:rFonts w:hint="eastAsia" w:ascii="宋体" w:hAnsi="宋体" w:eastAsia="宋体" w:cs="宋体"/>
          <w:szCs w:val="24"/>
          <w:lang w:val="zh-CN"/>
        </w:rPr>
        <w:t>.</w:t>
      </w:r>
      <w:r>
        <w:rPr>
          <w:rFonts w:hint="eastAsia" w:ascii="宋体" w:hAnsi="宋体" w:eastAsia="宋体" w:cs="宋体"/>
          <w:szCs w:val="24"/>
        </w:rPr>
        <w:t>供应商在获取磋商文件后，应仔细检查磋商文件的所有内容，如对政府采购活动事项有疑问的，应向采购人或代理机构以书面形式提出，否则视同供应商理解并接受本磋商文件所有内容，并由此引起的损失自负。供应商不得在磋商结束后针对磋商文件所有内容提出质疑事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zh-CN"/>
        </w:rPr>
        <w:t>.</w:t>
      </w:r>
      <w:r>
        <w:rPr>
          <w:rFonts w:hint="eastAsia" w:ascii="宋体" w:hAnsi="宋体" w:eastAsia="宋体" w:cs="宋体"/>
          <w:szCs w:val="24"/>
        </w:rPr>
        <w:t>供应商应认真审阅磋商文件中所有的事项、格式、条款和规范要求等，如果供应商没有按照磋商文件要求提交响应文件，或者响应文件没有对磋商文件做出实质性响应，将被拒绝参与磋商。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二、磋商文件的澄清、修改、答疑</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rPr>
        <w:t>本</w:t>
      </w:r>
      <w:r>
        <w:rPr>
          <w:rFonts w:hint="eastAsia" w:ascii="宋体" w:hAnsi="宋体" w:eastAsia="宋体" w:cs="宋体"/>
          <w:szCs w:val="24"/>
          <w:lang w:val="zh-CN"/>
        </w:rPr>
        <w:t>代理机构可以对已发出的磋商文件进行必要的澄清或者修改，澄清或者修改的内容作为磋商文件的组成部分。澄清或者修改的内容可能影响响应文件编制的，代理机构将在提交首次响应文件截止之日5日前，以公告书面形式（包括电子邮件发送盖章扫描件）通知所有接收磋商文件的供应商，不足5日的，应当顺延提交首次响应文件截止之日。</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lang w:val="zh-CN"/>
        </w:rPr>
        <w:t>供应商由于对磋商文件的任何推论和误解以及本代理机构对有关问题的口头解释所造成的后果，均由供应商自负。</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lang w:val="zh-CN"/>
        </w:rPr>
        <w:t>本代理机构或采购单位可视情组织答疑会。</w:t>
      </w:r>
    </w:p>
    <w:p>
      <w:pPr>
        <w:widowControl/>
        <w:shd w:val="clear" w:color="auto" w:fill="FFFFFF"/>
        <w:ind w:firstLine="482" w:firstLineChars="200"/>
        <w:jc w:val="left"/>
        <w:rPr>
          <w:rFonts w:ascii="宋体" w:hAnsi="宋体" w:eastAsia="宋体" w:cs="宋体"/>
          <w:b/>
          <w:bCs/>
          <w:szCs w:val="24"/>
        </w:rPr>
      </w:pPr>
      <w:r>
        <w:rPr>
          <w:rFonts w:hint="eastAsia" w:ascii="宋体" w:hAnsi="宋体" w:eastAsia="宋体" w:cs="宋体"/>
          <w:b/>
          <w:bCs/>
          <w:szCs w:val="24"/>
          <w:lang w:val="zh-CN"/>
        </w:rPr>
        <w:t>三、响应文件的编写、份数和签署</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lang w:val="zh-CN"/>
        </w:rPr>
        <w:t>1.供应商按“第七部分响应文件组成”要求编写响应文件，自编目录并连续标注页码，不得将内容拆开，并牢固装订成册。响应文件均需采用A4纸（</w:t>
      </w:r>
      <w:r>
        <w:rPr>
          <w:rFonts w:hint="eastAsia" w:ascii="宋体" w:hAnsi="宋体" w:eastAsia="宋体" w:cs="宋体"/>
          <w:szCs w:val="24"/>
        </w:rPr>
        <w:t>图纸等除外），不允许使用活页夹、拉杆夹、文件夹、塑料方便式书脊（插入式或穿孔式）装订。响应文件不得行间插字、涂改、增删，如修补错漏处，须经响应文件签署人签字并加盖公章。</w:t>
      </w:r>
    </w:p>
    <w:p>
      <w:pPr>
        <w:snapToGrid w:val="0"/>
        <w:ind w:firstLine="480" w:firstLineChars="200"/>
        <w:jc w:val="left"/>
      </w:pPr>
      <w:r>
        <w:rPr>
          <w:rFonts w:hint="eastAsia"/>
          <w:color w:val="000000"/>
        </w:rPr>
        <w:t>2</w:t>
      </w:r>
      <w:r>
        <w:rPr>
          <w:rFonts w:hint="eastAsia" w:ascii="宋体" w:hAnsi="宋体" w:eastAsia="宋体" w:cs="宋体"/>
          <w:szCs w:val="24"/>
          <w:lang w:val="zh-CN"/>
        </w:rPr>
        <w:t>.</w:t>
      </w:r>
      <w:r>
        <w:rPr>
          <w:color w:val="000000"/>
        </w:rPr>
        <w:t>响应文件的资格审查资料、商务技术响应文件、价格响应文件均为</w:t>
      </w:r>
      <w:r>
        <w:rPr>
          <w:b/>
          <w:bCs/>
          <w:color w:val="000000"/>
          <w:u w:val="single"/>
          <w:lang w:val="zh-CN"/>
        </w:rPr>
        <w:t>一</w:t>
      </w:r>
      <w:r>
        <w:rPr>
          <w:b/>
          <w:bCs/>
          <w:color w:val="000000"/>
          <w:u w:val="single"/>
        </w:rPr>
        <w:t>份正本和二份副本</w:t>
      </w:r>
      <w:r>
        <w:rPr>
          <w:color w:val="000000"/>
        </w:rPr>
        <w:t>，并明确标注</w:t>
      </w:r>
      <w:r>
        <w:rPr>
          <w:color w:val="000000"/>
          <w:lang w:val="zh-CN"/>
        </w:rPr>
        <w:t>供应商全称、</w:t>
      </w:r>
      <w:r>
        <w:rPr>
          <w:color w:val="000000"/>
        </w:rPr>
        <w:t>“正本”、“副本”字样。</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zh-CN"/>
        </w:rPr>
        <w:t>.</w:t>
      </w:r>
      <w:r>
        <w:rPr>
          <w:rFonts w:hint="eastAsia" w:ascii="宋体" w:hAnsi="宋体" w:eastAsia="宋体" w:cs="宋体"/>
          <w:szCs w:val="24"/>
        </w:rPr>
        <w:t>响应文件正本须打印并由法定代表人或授权人签字并加盖单位印章。副本可复印，但须加盖单位印章。</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w:t>
      </w:r>
      <w:r>
        <w:rPr>
          <w:rFonts w:hint="eastAsia" w:ascii="宋体" w:hAnsi="宋体" w:eastAsia="宋体" w:cs="宋体"/>
          <w:szCs w:val="24"/>
          <w:lang w:val="zh-CN"/>
        </w:rPr>
        <w:t>.</w:t>
      </w:r>
      <w:r>
        <w:rPr>
          <w:rFonts w:hint="eastAsia" w:ascii="宋体" w:hAnsi="宋体" w:eastAsia="宋体" w:cs="宋体"/>
          <w:szCs w:val="24"/>
        </w:rPr>
        <w:t>本代理机构将拒绝接收未按照磋商文件要求的响应文件。</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四、响应文件的密封及标记</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w:t>
      </w:r>
      <w:r>
        <w:rPr>
          <w:rFonts w:hint="eastAsia" w:ascii="宋体" w:hAnsi="宋体" w:eastAsia="宋体" w:cs="宋体"/>
          <w:szCs w:val="24"/>
          <w:lang w:val="zh-CN"/>
        </w:rPr>
        <w:t>.</w:t>
      </w:r>
      <w:r>
        <w:rPr>
          <w:rFonts w:hint="eastAsia" w:ascii="宋体" w:hAnsi="宋体" w:eastAsia="宋体" w:cs="宋体"/>
          <w:szCs w:val="24"/>
        </w:rPr>
        <w:t>商务技术文件应将正本、副本及图纸类等（如需提供图纸等其它资料的话）合并密封，统一装在一个密封袋或密封箱内（如有A3大小的图纸类，可单独密封）。</w:t>
      </w:r>
    </w:p>
    <w:p>
      <w:pPr>
        <w:widowControl/>
        <w:shd w:val="clear" w:color="auto" w:fill="FFFFFF"/>
        <w:ind w:firstLine="480" w:firstLineChars="200"/>
        <w:jc w:val="left"/>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zh-CN"/>
        </w:rPr>
        <w:t>.</w:t>
      </w:r>
      <w:r>
        <w:rPr>
          <w:rFonts w:hint="eastAsia" w:ascii="宋体" w:hAnsi="宋体" w:eastAsia="宋体" w:cs="宋体"/>
          <w:szCs w:val="24"/>
        </w:rPr>
        <w:t>响应报价</w:t>
      </w:r>
      <w:r>
        <w:rPr>
          <w:rFonts w:hint="eastAsia" w:ascii="宋体" w:hAnsi="宋体" w:eastAsia="宋体" w:cs="宋体"/>
          <w:szCs w:val="24"/>
          <w:lang w:eastAsia="zh-CN"/>
        </w:rPr>
        <w:t>文件</w:t>
      </w:r>
      <w:r>
        <w:rPr>
          <w:rFonts w:hint="eastAsia" w:ascii="宋体" w:hAnsi="宋体" w:eastAsia="宋体" w:cs="宋体"/>
          <w:szCs w:val="24"/>
        </w:rPr>
        <w:t>须单独密封，不得出现于其他响应文件中。</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zh-CN"/>
        </w:rPr>
        <w:t>.</w:t>
      </w:r>
      <w:r>
        <w:rPr>
          <w:color w:val="000000"/>
        </w:rPr>
        <w:t>响应文件的资格审查资料、技术商务响应文件和价格响应文件应</w:t>
      </w:r>
      <w:r>
        <w:rPr>
          <w:b/>
          <w:color w:val="000000"/>
        </w:rPr>
        <w:t>分别密封</w:t>
      </w:r>
      <w:r>
        <w:rPr>
          <w:color w:val="000000"/>
        </w:rPr>
        <w:t>，并在封袋上写明 “资格审查资料”、“商务技术响应文件”、“价格响应文件”，同时还要写明项目名称、供应商名称。封袋上应加盖供应商公章</w:t>
      </w:r>
      <w:r>
        <w:rPr>
          <w:rFonts w:hint="eastAsia" w:ascii="宋体" w:hAnsi="宋体" w:eastAsia="宋体" w:cs="宋体"/>
          <w:szCs w:val="24"/>
        </w:rPr>
        <w:t>。</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w:t>
      </w:r>
      <w:r>
        <w:rPr>
          <w:rFonts w:hint="eastAsia" w:ascii="宋体" w:hAnsi="宋体" w:eastAsia="宋体" w:cs="宋体"/>
          <w:szCs w:val="24"/>
          <w:lang w:val="zh-CN"/>
        </w:rPr>
        <w:t>.</w:t>
      </w:r>
      <w:r>
        <w:rPr>
          <w:rFonts w:hint="eastAsia" w:ascii="宋体" w:hAnsi="宋体" w:eastAsia="宋体" w:cs="宋体"/>
          <w:szCs w:val="24"/>
        </w:rPr>
        <w:t>本代理机构将拒绝接收未按照磋商文件要求密封的响应文件。</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五、报价准备</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lang w:val="zh-CN"/>
        </w:rPr>
        <w:t>1.磋商结束后，供应商就所有内容进行最终报价，少报无效。</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lang w:val="zh-CN"/>
        </w:rPr>
        <w:t>2.最后报价应包括本项目的全部费用（含一切必须的辅助材料费用）及相关服务费等。</w:t>
      </w:r>
    </w:p>
    <w:p>
      <w:pPr>
        <w:widowControl/>
        <w:shd w:val="clear" w:color="auto" w:fill="FFFFFF"/>
        <w:ind w:firstLine="482" w:firstLineChars="200"/>
        <w:jc w:val="left"/>
        <w:rPr>
          <w:rFonts w:ascii="宋体" w:hAnsi="宋体" w:eastAsia="宋体" w:cs="宋体"/>
          <w:b/>
          <w:szCs w:val="24"/>
          <w:lang w:val="zh-CN"/>
        </w:rPr>
      </w:pPr>
      <w:r>
        <w:rPr>
          <w:rFonts w:hint="eastAsia" w:ascii="宋体" w:hAnsi="宋体" w:eastAsia="宋体" w:cs="宋体"/>
          <w:b/>
          <w:szCs w:val="24"/>
          <w:lang w:val="zh-CN"/>
        </w:rPr>
        <w:t>3.最终报价不得超过预算，不得超过首次报价</w:t>
      </w:r>
      <w:bookmarkStart w:id="7" w:name="_Hlk103600362"/>
      <w:r>
        <w:rPr>
          <w:rFonts w:hint="eastAsia" w:ascii="宋体" w:hAnsi="宋体" w:eastAsia="宋体" w:cs="宋体"/>
          <w:b/>
          <w:szCs w:val="24"/>
          <w:lang w:val="zh-CN"/>
        </w:rPr>
        <w:t>。</w:t>
      </w:r>
      <w:bookmarkEnd w:id="7"/>
      <w:r>
        <w:rPr>
          <w:rFonts w:hint="eastAsia" w:ascii="宋体" w:hAnsi="宋体" w:eastAsia="宋体" w:cs="宋体"/>
          <w:b/>
          <w:szCs w:val="24"/>
          <w:lang w:val="zh-CN"/>
        </w:rPr>
        <w:t>（最终报价超过预算或首次报价的，价格标无效，价格分为零分。）</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lang w:val="zh-CN"/>
        </w:rPr>
        <w:t>4.最后报价将作为磋商小组评定成交供应商的组成依据。</w:t>
      </w:r>
    </w:p>
    <w:p>
      <w:pPr>
        <w:widowControl/>
        <w:shd w:val="clear" w:color="auto" w:fill="FFFFFF"/>
        <w:ind w:firstLine="482" w:firstLineChars="200"/>
        <w:jc w:val="left"/>
        <w:rPr>
          <w:rFonts w:ascii="宋体" w:hAnsi="宋体" w:eastAsia="宋体" w:cs="宋体"/>
          <w:b/>
          <w:szCs w:val="24"/>
          <w:lang w:val="zh-CN"/>
        </w:rPr>
      </w:pPr>
      <w:r>
        <w:rPr>
          <w:rFonts w:hint="eastAsia" w:ascii="宋体" w:hAnsi="宋体" w:eastAsia="宋体" w:cs="宋体"/>
          <w:b/>
          <w:szCs w:val="24"/>
          <w:lang w:val="zh-CN"/>
        </w:rPr>
        <w:t>5.供应商提交的最终报价明显低于其他通过符合性审查供应商的报价，有可能影响产品质量或者不能诚信履约的，应当在评标现场合理的时间内（一般为10分钟，特殊情况下可申请延长）提供书面说明，提交相关证明材料；供应商不能证明其报价合理性的，评标委员会应当将其作为无效投标处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六、响应文件的递交时间</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1.供应商必须在规定的响应文件接收截止时间前送达指定地点。招标代理机构将拒绝接收在响应文件接收截止时间后递交的响应文件。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2.投标有效期自提交投标文件的截止之日起算，为</w:t>
      </w:r>
      <w:r>
        <w:rPr>
          <w:color w:val="000000"/>
        </w:rPr>
        <w:t>45个自然日</w:t>
      </w:r>
      <w:r>
        <w:rPr>
          <w:rFonts w:hint="eastAsia" w:ascii="宋体" w:hAnsi="宋体" w:eastAsia="宋体" w:cs="宋体"/>
          <w:szCs w:val="24"/>
        </w:rPr>
        <w:t>。</w:t>
      </w:r>
    </w:p>
    <w:p>
      <w:pPr>
        <w:widowControl/>
        <w:shd w:val="clear" w:color="auto" w:fill="FFFFFF"/>
        <w:ind w:firstLine="482" w:firstLineChars="200"/>
        <w:jc w:val="left"/>
        <w:rPr>
          <w:rFonts w:ascii="宋体" w:hAnsi="宋体" w:eastAsia="宋体" w:cs="宋体"/>
          <w:b/>
          <w:bCs/>
          <w:szCs w:val="24"/>
        </w:rPr>
      </w:pPr>
      <w:r>
        <w:rPr>
          <w:rFonts w:hint="eastAsia" w:ascii="宋体" w:hAnsi="宋体" w:eastAsia="宋体" w:cs="宋体"/>
          <w:b/>
          <w:szCs w:val="24"/>
          <w:lang w:val="zh-CN"/>
        </w:rPr>
        <w:t>七、</w:t>
      </w:r>
      <w:r>
        <w:rPr>
          <w:rFonts w:hint="eastAsia" w:ascii="宋体" w:hAnsi="宋体" w:eastAsia="宋体" w:cs="宋体"/>
          <w:b/>
          <w:bCs/>
          <w:szCs w:val="24"/>
        </w:rPr>
        <w:t>相关费用</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1.供应商承担参与磋商可能发生的全部费用，本招标代理在任何情况下均无义务和责任承担这些费用。</w:t>
      </w:r>
    </w:p>
    <w:p>
      <w:pPr>
        <w:ind w:firstLine="561"/>
        <w:jc w:val="left"/>
        <w:rPr>
          <w:rFonts w:ascii="宋体" w:hAnsi="宋体" w:eastAsia="宋体" w:cs="宋体"/>
          <w:szCs w:val="24"/>
        </w:rPr>
      </w:pPr>
      <w:r>
        <w:rPr>
          <w:rFonts w:hint="eastAsia" w:ascii="宋体" w:hAnsi="宋体" w:eastAsia="宋体" w:cs="宋体"/>
          <w:szCs w:val="24"/>
        </w:rPr>
        <w:t>2.采购人不收取任何费用。依据财政部《政府采购代理机构管理暂行办法》第十五条规定，约定由成交供应商向招标代理机构支付代理服务费。代理服务费计取金额按照2000元收取，此项费用含在投标报价中，并不单独立项，由成交供应商在取得成交通知书前，向招标代理机构一次付清。</w:t>
      </w:r>
    </w:p>
    <w:p>
      <w:pPr>
        <w:ind w:firstLine="561"/>
        <w:jc w:val="left"/>
        <w:rPr>
          <w:rFonts w:ascii="宋体" w:hAnsi="宋体" w:eastAsia="宋体" w:cs="宋体"/>
          <w:bCs/>
          <w:szCs w:val="24"/>
        </w:rPr>
      </w:pPr>
      <w:r>
        <w:rPr>
          <w:rFonts w:hint="eastAsia" w:ascii="宋体" w:hAnsi="宋体" w:eastAsia="宋体" w:cs="宋体"/>
          <w:b/>
          <w:szCs w:val="24"/>
          <w:lang w:val="zh-CN"/>
        </w:rPr>
        <w:t>八、供应商失信行为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1.按照江苏省财政厅、江苏省社会信用体系建设领导小组办公室发布《江苏省政府采购信用管理暂行办法》（苏财规[2018]18号）第九条和第二十条相关规定，采购人和采购代理机构记录和认定一般失信行为。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已响应参加政府采购活动，故意迟到或无故不参加，影响正常开标等采购活动正常进行的情形，属于一般失信行为。本项目已响应的供应商因故不能参加开标活动的，须在响应文件提交截止时间前1个工作日向代理机构提交书面原因并加盖公章，否则代理机构有权报请采购人同意后，将该供应商行为认定为一般失信行为，并在代理机构网站上公示，同时扣除该供应商信用评价分5分/次。</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3.代理机构有权拒绝3个自然年度内信用评价分扣除累计达15分及以上的供应商对本项目的响应。</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4.本项目评审环节中采用综合评分法的，供应商信用评价分每低于初始信用评价分5%，该供应商的综合得分扣1分；采购最低评标价法的，供应商信用评价分每低5%，该供应商的价格给予5%的价格加成。</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5.供应商存在严重失信行为的情形，采购人和代理机构有权向项目所在地区县级以上财政部门报告，情节严重的，采购和代理机构有权拒绝其参加政府采购活动。</w:t>
      </w:r>
    </w:p>
    <w:p>
      <w:pPr>
        <w:snapToGrid w:val="0"/>
        <w:ind w:firstLine="496" w:firstLineChars="206"/>
        <w:jc w:val="left"/>
        <w:rPr>
          <w:b/>
          <w:color w:val="000000"/>
        </w:rPr>
      </w:pPr>
      <w:r>
        <w:rPr>
          <w:b/>
          <w:color w:val="000000"/>
        </w:rPr>
        <w:t>九、未尽事宜</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按《中华人民共和国政府采购法》、《政府采购竞争性磋商采购方式管理暂行办法》及其他有关法律法规的规定执行。</w:t>
      </w:r>
    </w:p>
    <w:p>
      <w:pPr>
        <w:pStyle w:val="2"/>
        <w:ind w:left="480" w:firstLine="480"/>
      </w:pPr>
    </w:p>
    <w:p>
      <w:pPr>
        <w:widowControl/>
        <w:jc w:val="left"/>
        <w:rPr>
          <w:rFonts w:ascii="宋体" w:hAnsi="宋体" w:eastAsia="宋体" w:cs="宋体"/>
          <w:sz w:val="28"/>
          <w:szCs w:val="28"/>
        </w:rPr>
      </w:pPr>
      <w:r>
        <w:rPr>
          <w:rFonts w:hint="eastAsia" w:ascii="宋体" w:hAnsi="宋体" w:eastAsia="宋体" w:cs="宋体"/>
          <w:sz w:val="28"/>
          <w:szCs w:val="28"/>
        </w:rPr>
        <w:br w:type="page"/>
      </w:r>
    </w:p>
    <w:p>
      <w:pPr>
        <w:pStyle w:val="5"/>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第三部分 项目需求</w:t>
      </w:r>
    </w:p>
    <w:p>
      <w:pPr>
        <w:ind w:firstLine="482" w:firstLineChars="200"/>
        <w:rPr>
          <w:rFonts w:ascii="宋体" w:hAnsi="宋体" w:eastAsia="宋体" w:cs="宋体"/>
          <w:szCs w:val="24"/>
        </w:rPr>
      </w:pPr>
      <w:r>
        <w:rPr>
          <w:rFonts w:hint="eastAsia" w:ascii="宋体" w:hAnsi="宋体" w:eastAsia="宋体" w:cs="宋体"/>
          <w:b/>
          <w:szCs w:val="24"/>
        </w:rPr>
        <w:t>请供应商在响应前和制作响应文件时仔细研究项目需求说明。</w:t>
      </w:r>
      <w:r>
        <w:rPr>
          <w:rFonts w:hint="eastAsia" w:ascii="宋体" w:hAnsi="宋体" w:eastAsia="宋体" w:cs="宋体"/>
          <w:szCs w:val="24"/>
        </w:rPr>
        <w:t>供</w:t>
      </w:r>
      <w:r>
        <w:rPr>
          <w:rFonts w:hint="eastAsia" w:ascii="宋体" w:hAnsi="宋体" w:eastAsia="宋体" w:cs="宋体"/>
          <w:color w:val="000000"/>
          <w:szCs w:val="24"/>
        </w:rPr>
        <w:t>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务部分正负偏离表》和《技术部分正负偏离表》上明示，如不明示的视同完全响应。</w:t>
      </w:r>
    </w:p>
    <w:p>
      <w:pPr>
        <w:ind w:firstLine="482" w:firstLineChars="200"/>
        <w:rPr>
          <w:rFonts w:ascii="宋体" w:hAnsi="宋体" w:eastAsia="宋体" w:cs="宋体"/>
          <w:b/>
          <w:szCs w:val="24"/>
        </w:rPr>
      </w:pPr>
      <w:r>
        <w:rPr>
          <w:rFonts w:hint="eastAsia" w:ascii="宋体" w:hAnsi="宋体" w:eastAsia="宋体" w:cs="宋体"/>
          <w:b/>
          <w:szCs w:val="24"/>
        </w:rPr>
        <w:t>一、有关要求说明</w:t>
      </w:r>
    </w:p>
    <w:p>
      <w:pPr>
        <w:ind w:firstLine="480" w:firstLineChars="200"/>
        <w:rPr>
          <w:rFonts w:ascii="宋体" w:hAnsi="宋体" w:eastAsia="宋体" w:cs="宋体"/>
          <w:color w:val="000000"/>
          <w:szCs w:val="24"/>
        </w:rPr>
      </w:pPr>
      <w:r>
        <w:rPr>
          <w:rFonts w:hint="eastAsia" w:ascii="宋体" w:hAnsi="宋体" w:eastAsia="宋体" w:cs="宋体"/>
          <w:color w:val="000000"/>
          <w:szCs w:val="24"/>
        </w:rPr>
        <w:t>服务要求：供应商提供的服务人员必须是响应文件中所承诺的，杜绝采用分包、转包或挂靠单位人员。采购人发现提供服务的技术人员不能满足项目需求的，有权要求成交供应商按照承诺配备或更换相应资格的技术人员，且未经采购人同意不得随意私自更换技术人员。</w:t>
      </w:r>
    </w:p>
    <w:p>
      <w:pPr>
        <w:ind w:firstLine="482" w:firstLineChars="200"/>
        <w:rPr>
          <w:rFonts w:ascii="宋体" w:hAnsi="宋体" w:eastAsia="宋体" w:cs="宋体"/>
          <w:b/>
          <w:szCs w:val="24"/>
        </w:rPr>
      </w:pPr>
      <w:r>
        <w:rPr>
          <w:rFonts w:hint="eastAsia" w:ascii="宋体" w:hAnsi="宋体" w:eastAsia="宋体" w:cs="宋体"/>
          <w:b/>
          <w:szCs w:val="24"/>
        </w:rPr>
        <w:t>二、项目背景</w:t>
      </w:r>
    </w:p>
    <w:p>
      <w:pPr>
        <w:ind w:firstLine="480" w:firstLineChars="200"/>
        <w:rPr>
          <w:rFonts w:ascii="宋体" w:hAnsi="宋体" w:eastAsia="宋体" w:cs="宋体"/>
          <w:color w:val="000000"/>
          <w:szCs w:val="24"/>
        </w:rPr>
      </w:pPr>
      <w:r>
        <w:rPr>
          <w:rFonts w:hint="eastAsia" w:ascii="宋体" w:hAnsi="宋体" w:eastAsia="宋体" w:cs="宋体"/>
          <w:color w:val="000000"/>
          <w:szCs w:val="24"/>
        </w:rPr>
        <w:t>根据《南通市生态环境局关于加强生态环境专项资金项目申报工作方案》，为进一步提高我市上级生态环境资金项目申报质量，提升项目入库率，提高项目储备，实现“获取上级资金全省排名前列”的总体目标。现委托成交供应商为南通市生态环境项目储备库建设提供技术指导和技术服务。</w:t>
      </w:r>
    </w:p>
    <w:p>
      <w:pPr>
        <w:pStyle w:val="26"/>
        <w:tabs>
          <w:tab w:val="left" w:pos="851"/>
        </w:tabs>
        <w:ind w:left="570" w:firstLine="0"/>
        <w:rPr>
          <w:rFonts w:ascii="宋体" w:hAnsi="宋体" w:cs="宋体"/>
          <w:b/>
          <w:color w:val="000000"/>
        </w:rPr>
      </w:pPr>
      <w:r>
        <w:rPr>
          <w:rFonts w:hint="eastAsia" w:ascii="宋体" w:hAnsi="宋体" w:cs="宋体"/>
          <w:b/>
        </w:rPr>
        <w:t>三、</w:t>
      </w:r>
      <w:r>
        <w:rPr>
          <w:rFonts w:hint="eastAsia" w:ascii="宋体" w:hAnsi="宋体" w:cs="宋体"/>
          <w:b/>
          <w:color w:val="000000"/>
        </w:rPr>
        <w:t>项目主要工作内容</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（一）提供资金申报政策咨询</w:t>
      </w:r>
    </w:p>
    <w:p>
      <w:pPr>
        <w:pStyle w:val="26"/>
        <w:ind w:firstLine="640"/>
        <w:rPr>
          <w:rFonts w:ascii="宋体" w:hAnsi="宋体" w:cs="宋体"/>
          <w:color w:val="000000"/>
        </w:rPr>
      </w:pPr>
      <w:r>
        <w:rPr>
          <w:rFonts w:hint="eastAsia" w:ascii="宋体" w:hAnsi="宋体" w:cs="宋体"/>
          <w:color w:val="000000"/>
        </w:rPr>
        <w:t>为南通市生态环境局提供申报中央、省级生态环保专项资金项目准确、全面、深入的政策咨询。</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（二）开展中央、省级项目入库材料的审核</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协助南通市生态环境局按照中央、省级项目入库要求，对申报的项目进行审核，主要审核材料完整性、项目内容符合性、项目方案或可研报告的深度等，提高入库材料质量。</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（三）开展资金项目绩效评价</w:t>
      </w:r>
    </w:p>
    <w:p>
      <w:pPr>
        <w:ind w:firstLine="480" w:firstLineChars="200"/>
        <w:rPr>
          <w:rFonts w:ascii="宋体" w:hAnsi="宋体" w:eastAsia="宋体" w:cs="宋体"/>
          <w:color w:val="000000"/>
          <w:szCs w:val="24"/>
        </w:rPr>
      </w:pPr>
      <w:r>
        <w:rPr>
          <w:rFonts w:hint="eastAsia" w:ascii="宋体" w:hAnsi="宋体" w:eastAsia="宋体" w:cs="宋体"/>
          <w:color w:val="000000"/>
          <w:szCs w:val="24"/>
        </w:rPr>
        <w:t>面向南通市生态环境局提供中央、省级生态环保专项资金项目绩效自评价服务。</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（四）资金项目监督检查</w:t>
      </w:r>
    </w:p>
    <w:p>
      <w:pPr>
        <w:ind w:firstLine="480" w:firstLineChars="200"/>
        <w:rPr>
          <w:rFonts w:ascii="宋体" w:hAnsi="宋体" w:eastAsia="宋体" w:cs="宋体"/>
          <w:color w:val="000000"/>
          <w:szCs w:val="24"/>
        </w:rPr>
      </w:pPr>
      <w:r>
        <w:rPr>
          <w:rFonts w:hint="eastAsia" w:ascii="宋体" w:hAnsi="宋体" w:eastAsia="宋体" w:cs="宋体"/>
          <w:color w:val="000000"/>
          <w:szCs w:val="24"/>
        </w:rPr>
        <w:t>面向南通市生态环境局提供中央、省级生态环保专项资金项目监督检查服务。</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（五）开展项目申报培训</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为南通市生态环境局提供不少于两次的中央、省级资金项目申报培训活动，结合最新文件要求解读项目申报政策、申报流程、资金管理办法等。</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（六）做好部门对接工作</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与生态环境局各相关处室；与项目申报单位、企业；与省厅积极做好项目申报工作的对接。</w:t>
      </w:r>
    </w:p>
    <w:p>
      <w:pPr>
        <w:pStyle w:val="15"/>
        <w:widowControl/>
        <w:shd w:val="clear" w:color="auto" w:fill="FFFFFF"/>
        <w:spacing w:beforeAutospacing="0" w:afterAutospacing="0"/>
        <w:ind w:firstLine="482" w:firstLineChars="200"/>
        <w:rPr>
          <w:rFonts w:ascii="宋体" w:hAnsi="宋体" w:eastAsia="宋体" w:cs="宋体"/>
          <w:b/>
          <w:bCs/>
          <w:color w:val="000000"/>
          <w:kern w:val="2"/>
        </w:rPr>
      </w:pPr>
      <w:r>
        <w:rPr>
          <w:rFonts w:hint="eastAsia" w:ascii="宋体" w:hAnsi="宋体" w:eastAsia="宋体" w:cs="宋体"/>
          <w:b/>
          <w:bCs/>
          <w:color w:val="000000"/>
          <w:kern w:val="2"/>
        </w:rPr>
        <w:t>四、商务要求</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1.项目服务期限：2022年11月1日—2023年10月31日</w:t>
      </w:r>
    </w:p>
    <w:p>
      <w:pPr>
        <w:pStyle w:val="15"/>
        <w:widowControl/>
        <w:shd w:val="clear" w:color="auto" w:fill="FFFFFF"/>
        <w:spacing w:beforeAutospacing="0" w:afterAutospacing="0"/>
        <w:ind w:firstLine="480" w:firstLineChars="200"/>
        <w:rPr>
          <w:rFonts w:ascii="宋体" w:hAnsi="宋体" w:eastAsia="宋体" w:cs="宋体"/>
          <w:color w:val="000000"/>
          <w:kern w:val="2"/>
        </w:rPr>
      </w:pPr>
      <w:r>
        <w:rPr>
          <w:rFonts w:hint="eastAsia" w:ascii="宋体" w:hAnsi="宋体" w:eastAsia="宋体" w:cs="宋体"/>
          <w:color w:val="000000"/>
          <w:kern w:val="2"/>
        </w:rPr>
        <w:t>2.付款条件和方式：合同签订生效后30日内，预付合同金额的50％，项目服务期满，并通过</w:t>
      </w:r>
      <w:r>
        <w:rPr>
          <w:rFonts w:hint="eastAsia" w:ascii="宋体" w:hAnsi="宋体" w:eastAsia="宋体" w:cs="宋体"/>
          <w:color w:val="000000"/>
          <w:kern w:val="2"/>
          <w:highlight w:val="none"/>
        </w:rPr>
        <w:t>验收后</w:t>
      </w:r>
      <w:r>
        <w:rPr>
          <w:rFonts w:hint="eastAsia" w:ascii="宋体" w:hAnsi="宋体" w:eastAsia="宋体" w:cs="宋体"/>
          <w:color w:val="000000"/>
          <w:kern w:val="2"/>
        </w:rPr>
        <w:t>一个月内，支付合同金额50%。</w:t>
      </w:r>
    </w:p>
    <w:p>
      <w:pPr>
        <w:ind w:firstLine="480" w:firstLineChars="200"/>
        <w:rPr>
          <w:rFonts w:ascii="宋体" w:hAnsi="宋体" w:eastAsia="宋体" w:cs="宋体"/>
          <w:color w:val="000000"/>
          <w:sz w:val="28"/>
          <w:szCs w:val="28"/>
        </w:rPr>
      </w:pPr>
      <w:r>
        <w:rPr>
          <w:rFonts w:hint="eastAsia" w:ascii="宋体" w:hAnsi="宋体" w:eastAsia="宋体" w:cs="宋体"/>
        </w:rPr>
        <w:br w:type="page"/>
      </w:r>
    </w:p>
    <w:p>
      <w:pPr>
        <w:pStyle w:val="5"/>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第四部分 评审程序和内容</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一、本代理机构组织磋商活动</w:t>
      </w:r>
    </w:p>
    <w:p>
      <w:pPr>
        <w:widowControl/>
        <w:shd w:val="clear" w:color="auto" w:fill="FFFFFF"/>
        <w:ind w:firstLine="482" w:firstLineChars="200"/>
        <w:jc w:val="left"/>
        <w:rPr>
          <w:rFonts w:ascii="宋体" w:hAnsi="宋体" w:eastAsia="宋体" w:cs="宋体"/>
          <w:szCs w:val="24"/>
        </w:rPr>
      </w:pPr>
      <w:r>
        <w:rPr>
          <w:rFonts w:hint="eastAsia" w:ascii="宋体" w:hAnsi="宋体" w:eastAsia="宋体" w:cs="宋体"/>
          <w:b/>
          <w:szCs w:val="24"/>
        </w:rPr>
        <w:t>1.成立竞争性磋商小组。</w:t>
      </w:r>
      <w:r>
        <w:rPr>
          <w:rFonts w:hint="eastAsia" w:ascii="宋体" w:hAnsi="宋体" w:eastAsia="宋体" w:cs="宋体"/>
          <w:szCs w:val="24"/>
        </w:rPr>
        <w:t>竞争性磋商小组由采购人代表和评审专家共3人以上单数组成，其中评审专家人数不得少于竞争性磋商小组成员总数的2/3。超过公开磋商限额标准的项目，竞争性磋商小组应当由5人以上单数组成。</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2.竞争性磋商小组的职责：</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磋商文件内容违反国家有关强制性规定的，磋商小组应当停止评审并向采购人或者采购代理机构说明情况。</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3.竞争性磋商小组成员的义务：</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遵纪守法，客观、公正、廉洁地履行职责；根据采购文件的规定独立进行评审，对个人的评审意见承担法律责任；参与评审报告的起草；配合采购人答复供应商提出的质疑；配合财政部门的投诉处理和监督检查工作。</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二、供应商的法定代表人或授权人须持身份证准时参加磋商。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三、评审程序、内容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2.磋商小组所有成员应当集中与单一供应商分别进行磋商，并给予所有参加磋商的供应商平等的磋商机会。</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对磋商文件作出的实质性变动是磋商文件的有效组成部分，磋商小组应当及时以书面形式同时通知所有参加磋商的供应商。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4.磋商文件能够详细列明采购标的的技术、服务要求的，磋商结束后，磋商小组应当要求所有实质性响应的供应商在规定时间内提交最后报价，提交最后报价的供应商不得少于3家。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市场竞争不充分的科研项目，以及需要扶持的科技成果转化项目，提交最后报价的供应商可以是2家。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5.最后报价是供应商响应文件的有效组成部分。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6.已提交响应文件的供应商，在提交最后报价之前，可以根据磋商情况退出磋商。采购人、代理机构应当退还退出磋商的供应商的保证金。</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7.磋商时间由磋商小组掌握。</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四、评审方法-综合评分法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经磋商确定最终采购需求和提交最后报价的供应商后，由磋商小组采用综合评分法对提交最后报价的供应商的响应文件和最后报价进行综合评分。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综合评分法，是指响应文件满足磋商文件全部实质性要求且按评审因素的量化指标评审得分最高的供应商为成交候选供应商的评审方法。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评审时，磋商小组各成员应当独立对每个有效响应的文件进行评价、打分，然后汇总每个供应商每项评分因素的得分。</w:t>
      </w:r>
    </w:p>
    <w:p>
      <w:pPr>
        <w:pStyle w:val="36"/>
        <w:snapToGrid w:val="0"/>
        <w:spacing w:line="360" w:lineRule="auto"/>
        <w:ind w:firstLine="480" w:firstLineChars="200"/>
        <w:contextualSpacing/>
        <w:jc w:val="left"/>
        <w:rPr>
          <w:rFonts w:ascii="Times New Roman" w:hAnsi="Times New Roman" w:eastAsia="宋体"/>
          <w:color w:val="000000"/>
          <w:sz w:val="24"/>
          <w:szCs w:val="24"/>
        </w:rPr>
      </w:pPr>
      <w:r>
        <w:rPr>
          <w:rFonts w:ascii="Times New Roman" w:hAnsi="Times New Roman" w:eastAsia="宋体"/>
          <w:color w:val="000000"/>
          <w:sz w:val="24"/>
          <w:szCs w:val="24"/>
        </w:rPr>
        <w:t xml:space="preserve">本项目磋商的商务技术和报价评审总分值为100分。两部分评审因素比重如下： </w:t>
      </w:r>
    </w:p>
    <w:p>
      <w:pPr>
        <w:pStyle w:val="36"/>
        <w:snapToGrid w:val="0"/>
        <w:spacing w:line="360" w:lineRule="auto"/>
        <w:ind w:firstLine="480" w:firstLineChars="200"/>
        <w:contextualSpacing/>
        <w:jc w:val="left"/>
        <w:rPr>
          <w:rFonts w:ascii="Times New Roman" w:hAnsi="Times New Roman" w:eastAsia="宋体"/>
          <w:color w:val="000000"/>
          <w:sz w:val="24"/>
          <w:szCs w:val="24"/>
        </w:rPr>
      </w:pPr>
      <w:r>
        <w:rPr>
          <w:rFonts w:ascii="Times New Roman" w:hAnsi="Times New Roman" w:eastAsia="宋体"/>
          <w:color w:val="000000"/>
          <w:sz w:val="24"/>
          <w:szCs w:val="24"/>
        </w:rPr>
        <w:t>商务技术分值占总</w:t>
      </w:r>
      <w:r>
        <w:rPr>
          <w:rFonts w:ascii="Times New Roman" w:hAnsi="Times New Roman" w:eastAsia="宋体"/>
          <w:sz w:val="24"/>
          <w:szCs w:val="24"/>
        </w:rPr>
        <w:t>分值的比重为</w:t>
      </w:r>
      <w:r>
        <w:rPr>
          <w:rFonts w:hint="eastAsia" w:ascii="Times New Roman" w:hAnsi="Times New Roman" w:eastAsia="宋体"/>
          <w:b/>
          <w:sz w:val="24"/>
          <w:szCs w:val="24"/>
          <w:u w:val="single"/>
        </w:rPr>
        <w:t>85</w:t>
      </w:r>
      <w:r>
        <w:rPr>
          <w:rFonts w:ascii="Times New Roman" w:hAnsi="Times New Roman" w:eastAsia="宋体"/>
          <w:b/>
          <w:sz w:val="24"/>
          <w:szCs w:val="24"/>
          <w:u w:val="single"/>
        </w:rPr>
        <w:t>%（权重）</w:t>
      </w:r>
      <w:r>
        <w:rPr>
          <w:rFonts w:ascii="Times New Roman" w:hAnsi="Times New Roman" w:eastAsia="宋体"/>
          <w:sz w:val="24"/>
          <w:szCs w:val="24"/>
        </w:rPr>
        <w:t>，按所有评委评分的算术平均值计算，分值四舍五入保留两位小数；报价分值占总分值的比重为</w:t>
      </w:r>
      <w:r>
        <w:rPr>
          <w:rFonts w:hint="eastAsia" w:ascii="Times New Roman" w:hAnsi="Times New Roman" w:eastAsia="宋体"/>
          <w:b/>
          <w:sz w:val="24"/>
          <w:szCs w:val="24"/>
          <w:u w:val="single"/>
        </w:rPr>
        <w:t>15</w:t>
      </w:r>
      <w:r>
        <w:rPr>
          <w:rFonts w:ascii="Times New Roman" w:hAnsi="Times New Roman" w:eastAsia="宋体"/>
          <w:b/>
          <w:sz w:val="24"/>
          <w:szCs w:val="24"/>
          <w:u w:val="single"/>
        </w:rPr>
        <w:t xml:space="preserve">%（权重） </w:t>
      </w:r>
      <w:r>
        <w:rPr>
          <w:rFonts w:ascii="Times New Roman" w:hAnsi="Times New Roman" w:eastAsia="宋体"/>
          <w:sz w:val="24"/>
          <w:szCs w:val="24"/>
        </w:rPr>
        <w:t>，统一采用低价优先法计算直接取</w:t>
      </w:r>
      <w:r>
        <w:rPr>
          <w:rFonts w:ascii="Times New Roman" w:hAnsi="Times New Roman" w:eastAsia="宋体"/>
          <w:color w:val="000000"/>
          <w:sz w:val="24"/>
          <w:szCs w:val="24"/>
        </w:rPr>
        <w:t>得，分值四舍五入保留两位小数。两项得分相加为供应商的综合得分，综合得分最高的供应商推荐为项目第一成交候选人，并出具评审磋商报告。</w:t>
      </w:r>
    </w:p>
    <w:p>
      <w:pPr>
        <w:pStyle w:val="36"/>
        <w:snapToGrid w:val="0"/>
        <w:spacing w:line="360" w:lineRule="auto"/>
        <w:ind w:firstLine="480" w:firstLineChars="200"/>
        <w:contextualSpacing/>
        <w:jc w:val="left"/>
      </w:pPr>
      <w:r>
        <w:rPr>
          <w:rFonts w:ascii="Times New Roman" w:hAnsi="Times New Roman" w:eastAsia="宋体"/>
          <w:color w:val="000000"/>
          <w:sz w:val="24"/>
          <w:szCs w:val="24"/>
        </w:rPr>
        <w:t>确定成交候选人的特殊情况处理：若总分相同，则按最终报价响应得分高者优先中标；若总分且最终报价响应得分相同，则采取现场抽签的方式确定（投标供应商的抽签顺序分别为各投标供应商递交响应文件签到顺序号）。</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（一）审查响应文件的有效性、完整性、响应程度</w:t>
      </w:r>
    </w:p>
    <w:p>
      <w:pPr>
        <w:widowControl/>
        <w:shd w:val="clear" w:color="auto" w:fill="FFFFFF"/>
        <w:ind w:firstLine="482" w:firstLineChars="200"/>
        <w:jc w:val="left"/>
        <w:rPr>
          <w:rFonts w:ascii="宋体" w:hAnsi="宋体" w:eastAsia="宋体" w:cs="宋体"/>
          <w:b/>
          <w:bCs/>
          <w:szCs w:val="24"/>
        </w:rPr>
      </w:pPr>
      <w:r>
        <w:rPr>
          <w:rFonts w:hint="eastAsia" w:ascii="宋体" w:hAnsi="宋体" w:eastAsia="宋体" w:cs="宋体"/>
          <w:b/>
          <w:bCs/>
          <w:szCs w:val="24"/>
        </w:rPr>
        <w:t>1.供应商资格是否符合；</w:t>
      </w:r>
    </w:p>
    <w:p>
      <w:pPr>
        <w:widowControl/>
        <w:shd w:val="clear" w:color="auto" w:fill="FFFFFF"/>
        <w:ind w:firstLine="480" w:firstLineChars="200"/>
        <w:jc w:val="left"/>
        <w:rPr>
          <w:rFonts w:ascii="宋体" w:hAnsi="宋体" w:eastAsia="宋体" w:cs="宋体"/>
          <w:bCs/>
          <w:szCs w:val="24"/>
        </w:rPr>
      </w:pPr>
      <w:r>
        <w:rPr>
          <w:rFonts w:hint="eastAsia" w:ascii="宋体" w:hAnsi="宋体" w:eastAsia="宋体" w:cs="宋体"/>
          <w:bCs/>
          <w:szCs w:val="24"/>
        </w:rPr>
        <w:t>2.响应文件是否完整；</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3.响应文件是否恰当地签署；</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4.是否作出实质性响应（是否有实质性响应，只根据响应文件本身，而不寻求外部证据）；</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5.是否有计算错误。</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（二）误差纠正</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1.如果单价汇总金额与总价金额有出入，以单价金额计算结果为准；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2.单价金额小数点有明显错位的，应以总价为准；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3.正本与副本有矛盾的，以正本为准；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4.若文件大写表示的数据与数字表示的有差别，以大写表示的数据为准。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（三）出现下列情形之一的，作无效响应处理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1.未按照磋商文件规定要求装订、密封、签署、盖章的；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2.不具备磋商文件中规定的资格要求的；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3.响应报价超出预算的；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4.不符合法律、法规和磋商文件中规定的其他实质性要求的。</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（四）出现下列情形之一的，磋商失败</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1.符合条件的供应商或者对磋商文件作实质响应的供应商不足3家的（市场竞争不充分的科研项目，以及需要扶持的科技成果转化项目可以是2家）；</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2.出现影响采购公正的违法违规行为的；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3.供应商的最后报价均超过了采购预算，采购人不能支付的；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4.因重大变故，采购任务取消的。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五、评审标准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（一）商务技术分：85分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如果磋商小组由3人组成，供应商得分为磋商小组3个成员的平均分；如果磋商小组由5人以上组成，供应商得分为磋商小组成员评分中去除一个最高分和一个最低分后的平均分,分值保留小数点后两位。以下所设分值均为各条评分最大得分值。</w:t>
      </w:r>
    </w:p>
    <w:tbl>
      <w:tblPr>
        <w:tblStyle w:val="17"/>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59"/>
        <w:gridCol w:w="850"/>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tcPr>
          <w:p>
            <w:pPr>
              <w:spacing w:line="240" w:lineRule="auto"/>
              <w:jc w:val="center"/>
              <w:rPr>
                <w:rFonts w:ascii="宋体" w:hAnsi="宋体" w:eastAsia="宋体" w:cs="宋体"/>
                <w:sz w:val="21"/>
                <w:szCs w:val="21"/>
              </w:rPr>
            </w:pPr>
            <w:r>
              <w:rPr>
                <w:rFonts w:hint="eastAsia" w:ascii="宋体" w:hAnsi="宋体" w:eastAsia="宋体" w:cs="宋体"/>
                <w:sz w:val="21"/>
                <w:szCs w:val="21"/>
              </w:rPr>
              <w:t>序号</w:t>
            </w:r>
          </w:p>
        </w:tc>
        <w:tc>
          <w:tcPr>
            <w:tcW w:w="1559" w:type="dxa"/>
            <w:noWrap/>
          </w:tcPr>
          <w:p>
            <w:pPr>
              <w:spacing w:line="240" w:lineRule="auto"/>
              <w:jc w:val="center"/>
              <w:rPr>
                <w:rFonts w:ascii="宋体" w:hAnsi="宋体" w:eastAsia="宋体" w:cs="宋体"/>
                <w:sz w:val="21"/>
                <w:szCs w:val="21"/>
              </w:rPr>
            </w:pPr>
            <w:r>
              <w:rPr>
                <w:rFonts w:hint="eastAsia" w:ascii="宋体" w:hAnsi="宋体" w:eastAsia="宋体" w:cs="宋体"/>
                <w:sz w:val="21"/>
                <w:szCs w:val="21"/>
              </w:rPr>
              <w:t>评审因素</w:t>
            </w:r>
          </w:p>
        </w:tc>
        <w:tc>
          <w:tcPr>
            <w:tcW w:w="850" w:type="dxa"/>
            <w:noWrap/>
          </w:tcPr>
          <w:p>
            <w:pPr>
              <w:spacing w:line="240" w:lineRule="auto"/>
              <w:jc w:val="center"/>
              <w:rPr>
                <w:rFonts w:ascii="宋体" w:hAnsi="宋体" w:eastAsia="宋体" w:cs="宋体"/>
                <w:sz w:val="21"/>
                <w:szCs w:val="21"/>
              </w:rPr>
            </w:pPr>
            <w:r>
              <w:rPr>
                <w:rFonts w:hint="eastAsia" w:ascii="宋体" w:hAnsi="宋体" w:eastAsia="宋体" w:cs="宋体"/>
                <w:sz w:val="21"/>
                <w:szCs w:val="21"/>
              </w:rPr>
              <w:t>分值</w:t>
            </w:r>
          </w:p>
        </w:tc>
        <w:tc>
          <w:tcPr>
            <w:tcW w:w="5732" w:type="dxa"/>
            <w:noWrap/>
          </w:tcPr>
          <w:p>
            <w:pPr>
              <w:spacing w:line="240" w:lineRule="auto"/>
              <w:jc w:val="center"/>
              <w:rPr>
                <w:rFonts w:ascii="宋体" w:hAnsi="宋体" w:eastAsia="宋体" w:cs="宋体"/>
                <w:sz w:val="21"/>
                <w:szCs w:val="21"/>
              </w:rPr>
            </w:pPr>
            <w:r>
              <w:rPr>
                <w:rFonts w:hint="eastAsia" w:ascii="宋体" w:hAnsi="宋体" w:eastAsia="宋体" w:cs="宋体"/>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1.1</w:t>
            </w:r>
          </w:p>
        </w:tc>
        <w:tc>
          <w:tcPr>
            <w:tcW w:w="1559" w:type="dxa"/>
            <w:vMerge w:val="restart"/>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项目团队</w:t>
            </w:r>
          </w:p>
          <w:p>
            <w:pPr>
              <w:spacing w:line="240" w:lineRule="auto"/>
              <w:jc w:val="center"/>
              <w:rPr>
                <w:rFonts w:ascii="宋体" w:hAnsi="宋体" w:eastAsia="宋体" w:cs="宋体"/>
                <w:sz w:val="21"/>
                <w:szCs w:val="21"/>
              </w:rPr>
            </w:pPr>
            <w:r>
              <w:rPr>
                <w:rFonts w:hint="eastAsia" w:ascii="宋体" w:hAnsi="宋体" w:eastAsia="宋体" w:cs="宋体"/>
                <w:sz w:val="21"/>
                <w:szCs w:val="21"/>
              </w:rPr>
              <w:t>（20分）</w:t>
            </w:r>
          </w:p>
        </w:tc>
        <w:tc>
          <w:tcPr>
            <w:tcW w:w="850"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color w:val="000000" w:themeColor="text1"/>
                <w:sz w:val="21"/>
                <w:szCs w:val="21"/>
                <w:highlight w:val="none"/>
                <w14:textFill>
                  <w14:solidFill>
                    <w14:schemeClr w14:val="tx1"/>
                  </w14:solidFill>
                </w14:textFill>
              </w:rPr>
              <w:t>9</w:t>
            </w:r>
          </w:p>
        </w:tc>
        <w:tc>
          <w:tcPr>
            <w:tcW w:w="5732" w:type="dxa"/>
            <w:noWrap/>
            <w:vAlign w:val="center"/>
          </w:tcPr>
          <w:p>
            <w:pPr>
              <w:widowControl/>
              <w:spacing w:line="240" w:lineRule="auto"/>
              <w:ind w:firstLine="420" w:firstLineChars="200"/>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kern w:val="0"/>
                <w:sz w:val="21"/>
                <w:szCs w:val="21"/>
              </w:rPr>
              <w:t>投标人拟派项目负责人具有注册环保工程师证书的，得3分；具有注册环评工程师证书的，得3分；</w:t>
            </w:r>
            <w:r>
              <w:rPr>
                <w:rFonts w:hint="eastAsia" w:ascii="宋体" w:hAnsi="宋体" w:eastAsia="宋体" w:cs="宋体"/>
                <w:color w:val="000000" w:themeColor="text1"/>
                <w:kern w:val="0"/>
                <w:sz w:val="21"/>
                <w:szCs w:val="21"/>
                <w14:textFill>
                  <w14:solidFill>
                    <w14:schemeClr w14:val="tx1"/>
                  </w14:solidFill>
                </w14:textFill>
              </w:rPr>
              <w:t>具有一级建造师或一级造价师证书得</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color w:val="000000" w:themeColor="text1"/>
                <w:kern w:val="0"/>
                <w:sz w:val="21"/>
                <w:szCs w:val="21"/>
                <w14:textFill>
                  <w14:solidFill>
                    <w14:schemeClr w14:val="tx1"/>
                  </w14:solidFill>
                </w14:textFill>
              </w:rPr>
              <w:t>分、二级建造师证书或二级造价师的得1分，不重复得分</w:t>
            </w:r>
            <w:r>
              <w:rPr>
                <w:rFonts w:hint="eastAsia" w:ascii="宋体" w:hAnsi="宋体" w:eastAsia="宋体" w:cs="宋体"/>
                <w:color w:val="000000" w:themeColor="text1"/>
                <w:kern w:val="0"/>
                <w:sz w:val="21"/>
                <w:szCs w:val="21"/>
                <w:lang w:eastAsia="zh-CN"/>
                <w14:textFill>
                  <w14:solidFill>
                    <w14:schemeClr w14:val="tx1"/>
                  </w14:solidFill>
                </w14:textFill>
              </w:rPr>
              <w:t>。此项最高得</w:t>
            </w:r>
            <w:r>
              <w:rPr>
                <w:rFonts w:hint="eastAsia" w:ascii="宋体" w:hAnsi="宋体" w:eastAsia="宋体" w:cs="宋体"/>
                <w:color w:val="000000" w:themeColor="text1"/>
                <w:kern w:val="0"/>
                <w:sz w:val="21"/>
                <w:szCs w:val="21"/>
                <w:lang w:val="en-US" w:eastAsia="zh-CN"/>
                <w14:textFill>
                  <w14:solidFill>
                    <w14:schemeClr w14:val="tx1"/>
                  </w14:solidFill>
                </w14:textFill>
              </w:rPr>
              <w:t>9分</w:t>
            </w:r>
            <w:r>
              <w:rPr>
                <w:rFonts w:hint="eastAsia" w:ascii="宋体" w:hAnsi="宋体" w:eastAsia="宋体" w:cs="宋体"/>
                <w:color w:val="000000" w:themeColor="text1"/>
                <w:kern w:val="0"/>
                <w:sz w:val="21"/>
                <w:szCs w:val="21"/>
                <w14:textFill>
                  <w14:solidFill>
                    <w14:schemeClr w14:val="tx1"/>
                  </w14:solidFill>
                </w14:textFill>
              </w:rPr>
              <w:t>。</w:t>
            </w:r>
          </w:p>
          <w:p>
            <w:pPr>
              <w:widowControl/>
              <w:spacing w:line="240" w:lineRule="auto"/>
              <w:ind w:firstLine="420" w:firstLineChars="200"/>
              <w:jc w:val="left"/>
              <w:rPr>
                <w:rFonts w:ascii="宋体" w:hAnsi="宋体" w:eastAsia="宋体" w:cs="宋体"/>
                <w:sz w:val="21"/>
                <w:szCs w:val="21"/>
              </w:rPr>
            </w:pPr>
            <w:r>
              <w:rPr>
                <w:rFonts w:hint="eastAsia" w:ascii="宋体" w:hAnsi="宋体" w:eastAsia="宋体" w:cs="宋体"/>
                <w:kern w:val="0"/>
                <w:sz w:val="21"/>
                <w:szCs w:val="21"/>
              </w:rPr>
              <w:t>须提供拟派项目负责人是本单位正式员工的证明材料（如劳动合同等）、资格证书、项目证明文件等复印件加盖公章，原件备查，否则不得分。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1.2</w:t>
            </w:r>
          </w:p>
        </w:tc>
        <w:tc>
          <w:tcPr>
            <w:tcW w:w="1559" w:type="dxa"/>
            <w:vMerge w:val="continue"/>
            <w:noWrap/>
            <w:vAlign w:val="center"/>
          </w:tcPr>
          <w:p>
            <w:pPr>
              <w:spacing w:line="240" w:lineRule="auto"/>
              <w:jc w:val="center"/>
              <w:rPr>
                <w:rFonts w:ascii="宋体" w:hAnsi="宋体" w:eastAsia="宋体" w:cs="宋体"/>
                <w:sz w:val="21"/>
                <w:szCs w:val="21"/>
              </w:rPr>
            </w:pPr>
          </w:p>
        </w:tc>
        <w:tc>
          <w:tcPr>
            <w:tcW w:w="850"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highlight w:val="none"/>
              </w:rPr>
              <w:t>11</w:t>
            </w:r>
          </w:p>
        </w:tc>
        <w:tc>
          <w:tcPr>
            <w:tcW w:w="5732" w:type="dxa"/>
            <w:noWrap/>
            <w:vAlign w:val="center"/>
          </w:tcPr>
          <w:p>
            <w:pPr>
              <w:widowControl/>
              <w:spacing w:line="240" w:lineRule="auto"/>
              <w:ind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投标人拟派项目组成员拥有硕士及以上学位的，每1人得2分，最高得</w:t>
            </w:r>
            <w:r>
              <w:rPr>
                <w:rFonts w:hint="eastAsia" w:ascii="宋体" w:hAnsi="宋体" w:eastAsia="宋体" w:cs="宋体"/>
                <w:kern w:val="0"/>
                <w:sz w:val="21"/>
                <w:szCs w:val="21"/>
                <w:highlight w:val="none"/>
              </w:rPr>
              <w:t>8分；</w:t>
            </w:r>
            <w:r>
              <w:rPr>
                <w:rFonts w:hint="eastAsia" w:ascii="宋体" w:hAnsi="宋体" w:eastAsia="宋体" w:cs="宋体"/>
                <w:kern w:val="0"/>
                <w:sz w:val="21"/>
                <w:szCs w:val="21"/>
              </w:rPr>
              <w:t>项目组成员中拥有高级经济师或中级经济师证书的，得3分。（负责人与成员不重复计算）。</w:t>
            </w:r>
          </w:p>
          <w:p>
            <w:pPr>
              <w:spacing w:line="240" w:lineRule="auto"/>
              <w:ind w:firstLine="210" w:firstLineChars="100"/>
              <w:rPr>
                <w:rFonts w:ascii="宋体" w:hAnsi="宋体" w:eastAsia="宋体" w:cs="宋体"/>
                <w:sz w:val="21"/>
                <w:szCs w:val="21"/>
              </w:rPr>
            </w:pPr>
            <w:r>
              <w:rPr>
                <w:rFonts w:hint="eastAsia" w:ascii="宋体" w:hAnsi="宋体" w:eastAsia="宋体" w:cs="宋体"/>
                <w:kern w:val="0"/>
                <w:sz w:val="21"/>
                <w:szCs w:val="21"/>
              </w:rPr>
              <w:t>须提供拟派项目组成员是本单位正式员工的证明材料（如劳动合同等）、学位证书、资格证书等复印件加盖公章，原件备查，否则不得分。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2.1</w:t>
            </w:r>
          </w:p>
        </w:tc>
        <w:tc>
          <w:tcPr>
            <w:tcW w:w="1559" w:type="dxa"/>
            <w:vMerge w:val="restart"/>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项目实施工作方案（50分）</w:t>
            </w:r>
          </w:p>
        </w:tc>
        <w:tc>
          <w:tcPr>
            <w:tcW w:w="850"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10</w:t>
            </w:r>
          </w:p>
        </w:tc>
        <w:tc>
          <w:tcPr>
            <w:tcW w:w="5732" w:type="dxa"/>
            <w:noWrap/>
            <w:vAlign w:val="center"/>
          </w:tcPr>
          <w:p>
            <w:pPr>
              <w:spacing w:line="240" w:lineRule="auto"/>
              <w:rPr>
                <w:rFonts w:ascii="Times New Roman" w:hAnsi="Times New Roman" w:eastAsia="宋体" w:cs="Times New Roman"/>
              </w:rPr>
            </w:pPr>
            <w:r>
              <w:rPr>
                <w:rFonts w:hint="eastAsia" w:ascii="Times New Roman" w:hAnsi="Times New Roman" w:eastAsia="宋体" w:cs="Times New Roman"/>
              </w:rPr>
              <w:t>2.1 项目理解程度（10分）</w:t>
            </w:r>
          </w:p>
          <w:p>
            <w:pPr>
              <w:spacing w:line="240" w:lineRule="auto"/>
              <w:ind w:firstLine="240" w:firstLineChars="100"/>
              <w:rPr>
                <w:rFonts w:ascii="Times New Roman" w:hAnsi="Times New Roman" w:eastAsia="宋体" w:cs="Times New Roman"/>
              </w:rPr>
            </w:pPr>
            <w:r>
              <w:rPr>
                <w:rFonts w:hint="eastAsia" w:ascii="Times New Roman" w:hAnsi="Times New Roman" w:eastAsia="宋体" w:cs="Times New Roman"/>
              </w:rPr>
              <w:t>准确把握中央、省级环保专项资金入库申报技术咨询服务工作相关要求，熟悉资金管理最新要求，准确掌握申报审核要点，对中央、省级环保专项资金入库申报审核工作有深刻理解与认识的，得8-10分；基本把握中央、省级环保专项资金入库申报技术咨询服务工作相关要求，基本熟悉资金管理最新要求，基本掌握申报审核要点，对中央、省级环保专项资金入库申报审核工作较深刻理解与认识的，得5-7分；基本了解中央、省级环保专项资金入库申报技术咨询服务工作相关要求，了解资金管理最新要求，基本了解申报审核要点，对中央、省级环保专项资金入库申报审核工作基本理解与认识的，得1-4分；未作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2.2</w:t>
            </w:r>
          </w:p>
        </w:tc>
        <w:tc>
          <w:tcPr>
            <w:tcW w:w="1559" w:type="dxa"/>
            <w:vMerge w:val="continue"/>
            <w:noWrap/>
            <w:vAlign w:val="center"/>
          </w:tcPr>
          <w:p>
            <w:pPr>
              <w:spacing w:line="240" w:lineRule="auto"/>
              <w:jc w:val="center"/>
              <w:rPr>
                <w:rFonts w:ascii="宋体" w:hAnsi="宋体" w:eastAsia="宋体" w:cs="宋体"/>
                <w:sz w:val="21"/>
                <w:szCs w:val="21"/>
              </w:rPr>
            </w:pPr>
          </w:p>
        </w:tc>
        <w:tc>
          <w:tcPr>
            <w:tcW w:w="850"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20</w:t>
            </w:r>
          </w:p>
        </w:tc>
        <w:tc>
          <w:tcPr>
            <w:tcW w:w="5732" w:type="dxa"/>
            <w:noWrap/>
            <w:vAlign w:val="center"/>
          </w:tcPr>
          <w:p>
            <w:pPr>
              <w:spacing w:line="240" w:lineRule="auto"/>
              <w:rPr>
                <w:rFonts w:ascii="Times New Roman" w:hAnsi="Times New Roman" w:eastAsia="宋体" w:cs="Times New Roman"/>
              </w:rPr>
            </w:pPr>
            <w:r>
              <w:rPr>
                <w:rFonts w:hint="eastAsia" w:ascii="Times New Roman" w:hAnsi="Times New Roman" w:eastAsia="宋体" w:cs="Times New Roman"/>
              </w:rPr>
              <w:t>2.2 工作思路与方法（20分）</w:t>
            </w:r>
          </w:p>
          <w:p>
            <w:pPr>
              <w:spacing w:line="240" w:lineRule="auto"/>
              <w:ind w:firstLine="480" w:firstLineChars="200"/>
              <w:rPr>
                <w:rFonts w:ascii="Times New Roman" w:hAnsi="Times New Roman" w:eastAsia="宋体" w:cs="Times New Roman"/>
              </w:rPr>
            </w:pPr>
            <w:r>
              <w:rPr>
                <w:rFonts w:hint="eastAsia" w:ascii="Times New Roman" w:hAnsi="Times New Roman" w:eastAsia="宋体" w:cs="Times New Roman"/>
              </w:rPr>
              <w:t>从中央、省级资金项目入库材料审核、项目绩效评价、项目监督检查工作、资金项目申报培训四个方面，说明对于本项目的工作思路与方法。</w:t>
            </w:r>
          </w:p>
          <w:p>
            <w:pPr>
              <w:pStyle w:val="2"/>
              <w:spacing w:line="240" w:lineRule="auto"/>
              <w:ind w:left="0" w:leftChars="0" w:firstLine="480"/>
              <w:rPr>
                <w:rFonts w:ascii="Times New Roman" w:hAnsi="宋体" w:eastAsia="宋体" w:cs="Times New Roman"/>
                <w:sz w:val="22"/>
              </w:rPr>
            </w:pPr>
            <w:r>
              <w:rPr>
                <w:rFonts w:hint="eastAsia" w:ascii="Times New Roman" w:hAnsi="Times New Roman" w:eastAsia="宋体" w:cs="Times New Roman"/>
              </w:rPr>
              <w:t>工作思路完整清晰，方案内容全面、科学合理、操作性强，成果满足项目需求的，得14-20分；工作思路清晰、方案较完整、基本合理、操作性一般的，得8-13分；工作思路模糊、方案内容不完整、合理性较差、操作性较差的，得1-7分；未作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46"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2.3</w:t>
            </w:r>
          </w:p>
        </w:tc>
        <w:tc>
          <w:tcPr>
            <w:tcW w:w="1559" w:type="dxa"/>
            <w:vMerge w:val="continue"/>
            <w:noWrap/>
            <w:vAlign w:val="center"/>
          </w:tcPr>
          <w:p>
            <w:pPr>
              <w:spacing w:line="240" w:lineRule="auto"/>
              <w:jc w:val="center"/>
              <w:rPr>
                <w:rFonts w:ascii="宋体" w:hAnsi="宋体" w:eastAsia="宋体" w:cs="宋体"/>
                <w:sz w:val="21"/>
                <w:szCs w:val="21"/>
              </w:rPr>
            </w:pPr>
          </w:p>
        </w:tc>
        <w:tc>
          <w:tcPr>
            <w:tcW w:w="850"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10</w:t>
            </w:r>
          </w:p>
        </w:tc>
        <w:tc>
          <w:tcPr>
            <w:tcW w:w="5732" w:type="dxa"/>
            <w:noWrap/>
            <w:vAlign w:val="center"/>
          </w:tcPr>
          <w:p>
            <w:pPr>
              <w:spacing w:line="240" w:lineRule="auto"/>
              <w:rPr>
                <w:rFonts w:ascii="Times New Roman" w:hAnsi="Times New Roman" w:eastAsia="宋体" w:cs="Times New Roman"/>
              </w:rPr>
            </w:pPr>
            <w:r>
              <w:rPr>
                <w:rFonts w:hint="eastAsia" w:ascii="Times New Roman" w:hAnsi="Times New Roman" w:eastAsia="宋体" w:cs="Times New Roman"/>
              </w:rPr>
              <w:t>2.3 项目的重点与难点分析（10分）</w:t>
            </w:r>
          </w:p>
          <w:p>
            <w:pPr>
              <w:spacing w:line="240" w:lineRule="auto"/>
              <w:ind w:firstLine="480" w:firstLineChars="200"/>
              <w:rPr>
                <w:rFonts w:ascii="宋体" w:hAnsi="宋体" w:eastAsia="宋体" w:cs="宋体"/>
                <w:sz w:val="21"/>
                <w:szCs w:val="21"/>
              </w:rPr>
            </w:pPr>
            <w:r>
              <w:rPr>
                <w:rFonts w:ascii="Times New Roman" w:hAnsi="Times New Roman" w:eastAsia="宋体" w:cs="Times New Roman"/>
              </w:rPr>
              <w:t>准确把握本项目的重点与难点，分析全面、判断准确</w:t>
            </w:r>
            <w:r>
              <w:rPr>
                <w:rFonts w:hint="eastAsia" w:ascii="Times New Roman" w:hAnsi="Times New Roman" w:eastAsia="宋体" w:cs="Times New Roman"/>
              </w:rPr>
              <w:t>，且给出全面、合理的解决方案，</w:t>
            </w:r>
            <w:r>
              <w:rPr>
                <w:rFonts w:ascii="Times New Roman" w:hAnsi="Times New Roman" w:eastAsia="宋体" w:cs="Times New Roman"/>
              </w:rPr>
              <w:t>得</w:t>
            </w:r>
            <w:r>
              <w:rPr>
                <w:rFonts w:hint="eastAsia" w:ascii="Times New Roman" w:hAnsi="Times New Roman" w:eastAsia="宋体" w:cs="Times New Roman"/>
              </w:rPr>
              <w:t>8</w:t>
            </w:r>
            <w:r>
              <w:rPr>
                <w:rFonts w:ascii="Times New Roman" w:hAnsi="Times New Roman" w:eastAsia="宋体" w:cs="Times New Roman"/>
              </w:rPr>
              <w:t>-</w:t>
            </w:r>
            <w:r>
              <w:rPr>
                <w:rFonts w:hint="eastAsia" w:ascii="Times New Roman" w:hAnsi="Times New Roman" w:eastAsia="宋体" w:cs="Times New Roman"/>
              </w:rPr>
              <w:t>10</w:t>
            </w:r>
            <w:r>
              <w:rPr>
                <w:rFonts w:ascii="Times New Roman" w:hAnsi="Times New Roman" w:eastAsia="宋体" w:cs="Times New Roman"/>
              </w:rPr>
              <w:t>分；基本把握本项目的重点与难点，分析较为全面、判断较为准确，</w:t>
            </w:r>
            <w:r>
              <w:rPr>
                <w:rFonts w:hint="eastAsia" w:ascii="Times New Roman" w:hAnsi="Times New Roman" w:eastAsia="宋体" w:cs="Times New Roman"/>
              </w:rPr>
              <w:t>给出的解决方案基本合理，</w:t>
            </w:r>
            <w:r>
              <w:rPr>
                <w:rFonts w:ascii="Times New Roman" w:hAnsi="Times New Roman" w:eastAsia="宋体" w:cs="Times New Roman"/>
              </w:rPr>
              <w:t>得</w:t>
            </w:r>
            <w:r>
              <w:rPr>
                <w:rFonts w:hint="eastAsia" w:ascii="Times New Roman" w:hAnsi="Times New Roman" w:eastAsia="宋体" w:cs="Times New Roman"/>
              </w:rPr>
              <w:t>5</w:t>
            </w:r>
            <w:r>
              <w:rPr>
                <w:rFonts w:ascii="Times New Roman" w:hAnsi="Times New Roman" w:eastAsia="宋体" w:cs="Times New Roman"/>
              </w:rPr>
              <w:t>-</w:t>
            </w:r>
            <w:r>
              <w:rPr>
                <w:rFonts w:hint="eastAsia" w:ascii="Times New Roman" w:hAnsi="Times New Roman" w:eastAsia="宋体" w:cs="Times New Roman"/>
              </w:rPr>
              <w:t>7</w:t>
            </w:r>
            <w:r>
              <w:rPr>
                <w:rFonts w:ascii="Times New Roman" w:hAnsi="Times New Roman" w:eastAsia="宋体" w:cs="Times New Roman"/>
              </w:rPr>
              <w:t>分；对项目的重点与难点把握不准，分析简单不全面、判断不准确，</w:t>
            </w:r>
            <w:r>
              <w:rPr>
                <w:rFonts w:hint="eastAsia" w:ascii="Times New Roman" w:hAnsi="Times New Roman" w:eastAsia="宋体" w:cs="Times New Roman"/>
              </w:rPr>
              <w:t>给出的解决方案不全面、不合理的，</w:t>
            </w:r>
            <w:r>
              <w:rPr>
                <w:rFonts w:ascii="Times New Roman" w:hAnsi="Times New Roman" w:eastAsia="宋体" w:cs="Times New Roman"/>
              </w:rPr>
              <w:t>得1-</w:t>
            </w:r>
            <w:r>
              <w:rPr>
                <w:rFonts w:hint="eastAsia" w:ascii="Times New Roman" w:hAnsi="Times New Roman" w:eastAsia="宋体" w:cs="Times New Roman"/>
              </w:rPr>
              <w:t>4</w:t>
            </w:r>
            <w:r>
              <w:rPr>
                <w:rFonts w:ascii="Times New Roman" w:hAnsi="Times New Roman" w:eastAsia="宋体" w:cs="Times New Roman"/>
              </w:rPr>
              <w:t>分；未作说明的不得分。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846"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3</w:t>
            </w:r>
          </w:p>
        </w:tc>
        <w:tc>
          <w:tcPr>
            <w:tcW w:w="1559" w:type="dxa"/>
            <w:noWrap/>
            <w:vAlign w:val="center"/>
          </w:tcPr>
          <w:p>
            <w:pPr>
              <w:spacing w:line="240" w:lineRule="auto"/>
              <w:jc w:val="center"/>
              <w:rPr>
                <w:rFonts w:ascii="Times New Roman" w:hAnsi="Times New Roman" w:eastAsia="宋体" w:cs="Times New Roman"/>
              </w:rPr>
            </w:pPr>
            <w:r>
              <w:rPr>
                <w:rFonts w:hint="eastAsia" w:ascii="Times New Roman" w:hAnsi="Times New Roman" w:eastAsia="宋体" w:cs="Times New Roman"/>
              </w:rPr>
              <w:t>服务保障</w:t>
            </w:r>
          </w:p>
          <w:p>
            <w:pPr>
              <w:pStyle w:val="2"/>
              <w:spacing w:line="240" w:lineRule="auto"/>
              <w:ind w:left="0" w:leftChars="0" w:firstLine="0" w:firstLineChars="0"/>
              <w:jc w:val="center"/>
              <w:rPr>
                <w:rFonts w:ascii="Times New Roman" w:hAnsi="Times New Roman" w:eastAsia="宋体" w:cs="Times New Roman"/>
              </w:rPr>
            </w:pPr>
            <w:r>
              <w:rPr>
                <w:rFonts w:hint="eastAsia" w:ascii="宋体" w:hAnsi="宋体" w:eastAsia="宋体" w:cs="宋体"/>
                <w:sz w:val="21"/>
                <w:szCs w:val="21"/>
              </w:rPr>
              <w:t>（15分）</w:t>
            </w:r>
          </w:p>
        </w:tc>
        <w:tc>
          <w:tcPr>
            <w:tcW w:w="850"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15</w:t>
            </w:r>
          </w:p>
        </w:tc>
        <w:tc>
          <w:tcPr>
            <w:tcW w:w="5732" w:type="dxa"/>
            <w:noWrap/>
            <w:vAlign w:val="center"/>
          </w:tcPr>
          <w:p>
            <w:pPr>
              <w:spacing w:line="240" w:lineRule="auto"/>
              <w:ind w:firstLine="480" w:firstLineChars="200"/>
              <w:rPr>
                <w:rFonts w:ascii="Times New Roman" w:hAnsi="Times New Roman" w:eastAsia="宋体" w:cs="Times New Roman"/>
              </w:rPr>
            </w:pPr>
            <w:r>
              <w:rPr>
                <w:rFonts w:hint="eastAsia" w:ascii="Times New Roman" w:hAnsi="Times New Roman" w:eastAsia="宋体" w:cs="Times New Roman"/>
              </w:rPr>
              <w:t>根据供应商提供的针对本项目服务保障方案内容的合理性、科学性、规范性、可行性等进行综合评分；</w:t>
            </w:r>
          </w:p>
          <w:p>
            <w:pPr>
              <w:spacing w:line="240" w:lineRule="auto"/>
              <w:ind w:firstLine="480" w:firstLineChars="200"/>
              <w:rPr>
                <w:rFonts w:ascii="Times New Roman" w:hAnsi="Times New Roman" w:eastAsia="宋体" w:cs="Times New Roman"/>
              </w:rPr>
            </w:pPr>
            <w:r>
              <w:rPr>
                <w:rFonts w:hint="eastAsia" w:ascii="Times New Roman" w:hAnsi="Times New Roman" w:eastAsia="宋体" w:cs="Times New Roman"/>
              </w:rPr>
              <w:t>对项目实施提出相应的服务保障措施，措施合理可靠，成果质量能够得到有效保障的，得11-15分；有服务保障措施且合理可行的，得6-10分；服务保障措施有欠缺的，得1-5分；未作说明的不得分。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846"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4</w:t>
            </w:r>
          </w:p>
        </w:tc>
        <w:tc>
          <w:tcPr>
            <w:tcW w:w="1559" w:type="dxa"/>
            <w:noWrap/>
            <w:vAlign w:val="center"/>
          </w:tcPr>
          <w:p>
            <w:pPr>
              <w:pStyle w:val="2"/>
              <w:spacing w:line="240" w:lineRule="auto"/>
              <w:ind w:left="0" w:leftChars="0" w:firstLine="0" w:firstLineChars="0"/>
              <w:jc w:val="center"/>
              <w:rPr>
                <w:rFonts w:ascii="宋体" w:hAnsi="宋体" w:eastAsia="宋体" w:cs="宋体"/>
                <w:sz w:val="21"/>
                <w:szCs w:val="21"/>
              </w:rPr>
            </w:pPr>
            <w:r>
              <w:rPr>
                <w:rFonts w:hint="eastAsia" w:ascii="宋体" w:hAnsi="宋体" w:eastAsia="宋体" w:cs="宋体"/>
                <w:sz w:val="21"/>
                <w:szCs w:val="21"/>
              </w:rPr>
              <w:t>工作进度与效率保证（10分）</w:t>
            </w:r>
          </w:p>
        </w:tc>
        <w:tc>
          <w:tcPr>
            <w:tcW w:w="850"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10</w:t>
            </w:r>
          </w:p>
        </w:tc>
        <w:tc>
          <w:tcPr>
            <w:tcW w:w="5732" w:type="dxa"/>
            <w:noWrap/>
            <w:vAlign w:val="center"/>
          </w:tcPr>
          <w:p>
            <w:pPr>
              <w:pStyle w:val="2"/>
              <w:spacing w:line="240" w:lineRule="auto"/>
              <w:ind w:left="0" w:leftChars="0" w:firstLine="0" w:firstLineChars="0"/>
              <w:rPr>
                <w:rFonts w:ascii="Times New Roman" w:hAnsi="Times New Roman" w:eastAsia="宋体" w:cs="Times New Roman"/>
              </w:rPr>
            </w:pPr>
            <w:r>
              <w:rPr>
                <w:rFonts w:hint="eastAsia" w:ascii="Times New Roman" w:hAnsi="Times New Roman" w:eastAsia="宋体" w:cs="Times New Roman"/>
              </w:rPr>
              <w:t>工作计划、进度安排科学合理，措施可靠，工作效率有有力的保障的，得8-10分；工作计划、进度安排基本合理，措施基本可靠，工作效率有基本保障的，得5-7分；工作计划、进度安排有欠缺，工作效率得不到保障的，得1-4分；未作说明的不得分。</w:t>
            </w:r>
          </w:p>
        </w:tc>
      </w:tr>
    </w:tbl>
    <w:p>
      <w:pPr>
        <w:widowControl/>
        <w:shd w:val="clear" w:color="auto" w:fill="FFFFFF"/>
        <w:jc w:val="left"/>
        <w:rPr>
          <w:rFonts w:ascii="宋体" w:hAnsi="宋体" w:eastAsia="宋体" w:cs="宋体"/>
          <w:b/>
          <w:szCs w:val="24"/>
        </w:rPr>
      </w:pPr>
      <w:bookmarkStart w:id="35" w:name="_GoBack"/>
      <w:bookmarkEnd w:id="35"/>
    </w:p>
    <w:p>
      <w:pPr>
        <w:widowControl/>
        <w:shd w:val="clear" w:color="auto" w:fill="FFFFFF"/>
        <w:ind w:firstLine="482" w:firstLineChars="200"/>
        <w:jc w:val="left"/>
        <w:rPr>
          <w:rFonts w:hint="eastAsia" w:ascii="宋体" w:hAnsi="宋体" w:eastAsia="宋体" w:cs="宋体"/>
          <w:b/>
          <w:szCs w:val="24"/>
        </w:rPr>
      </w:pPr>
      <w:r>
        <w:rPr>
          <w:rFonts w:hint="eastAsia" w:ascii="宋体" w:hAnsi="宋体" w:eastAsia="宋体" w:cs="宋体"/>
          <w:b/>
          <w:szCs w:val="24"/>
        </w:rPr>
        <w:t>注：评标办法中涉及人员证书等证明材料，如为复印件均须加盖供应商公章，否则该项不得分</w:t>
      </w:r>
      <w:r>
        <w:rPr>
          <w:rFonts w:hint="eastAsia" w:ascii="宋体" w:hAnsi="宋体" w:eastAsia="宋体" w:cs="宋体"/>
          <w:b/>
          <w:bCs/>
          <w:color w:val="000000" w:themeColor="text1"/>
          <w:kern w:val="0"/>
          <w:szCs w:val="24"/>
        </w:rPr>
        <w:t>。</w:t>
      </w:r>
      <w:r>
        <w:rPr>
          <w:rFonts w:hint="eastAsia" w:ascii="宋体" w:hAnsi="宋体" w:eastAsia="宋体" w:cs="宋体"/>
          <w:b/>
          <w:szCs w:val="24"/>
        </w:rPr>
        <w:t>上述涉及可政府或行业协会官网查询的供应商或人员资质资格等相关证书以及相关证明材料，仅需提供复印件（应清晰可辨）并加盖公章，非必须提供原件。评委评审时经三分之二及以上评委认为复印件存疑时，可要求供应商提供查询网址或原件核对，无法核验时该项不得分，供应商自行承担由此产生的得分损失</w:t>
      </w:r>
      <w:r>
        <w:rPr>
          <w:rFonts w:hint="eastAsia" w:ascii="仿宋" w:hAnsi="仿宋" w:eastAsia="仿宋" w:cs="仿宋"/>
          <w:b/>
          <w:sz w:val="28"/>
          <w:szCs w:val="28"/>
        </w:rPr>
        <w:t>。</w:t>
      </w:r>
    </w:p>
    <w:p>
      <w:pPr>
        <w:widowControl/>
        <w:jc w:val="left"/>
        <w:rPr>
          <w:rFonts w:ascii="宋体" w:hAnsi="宋体" w:eastAsia="宋体" w:cs="宋体"/>
          <w:b/>
          <w:szCs w:val="24"/>
        </w:rPr>
      </w:pPr>
      <w:r>
        <w:rPr>
          <w:rFonts w:hint="eastAsia" w:ascii="宋体" w:hAnsi="宋体" w:eastAsia="宋体" w:cs="宋体"/>
          <w:b/>
          <w:szCs w:val="24"/>
        </w:rPr>
        <w:t>（二）价格分：15分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综合评分法中的价格分统一采用</w:t>
      </w:r>
      <w:r>
        <w:rPr>
          <w:rFonts w:hint="eastAsia" w:ascii="宋体" w:hAnsi="宋体" w:eastAsia="宋体" w:cs="宋体"/>
          <w:b/>
          <w:bCs/>
          <w:szCs w:val="24"/>
        </w:rPr>
        <w:t>低价优先法</w:t>
      </w:r>
      <w:r>
        <w:rPr>
          <w:rFonts w:hint="eastAsia" w:ascii="宋体" w:hAnsi="宋体" w:eastAsia="宋体" w:cs="宋体"/>
          <w:szCs w:val="24"/>
        </w:rPr>
        <w:t>计算，即满足磋商文件要求且最后报价最低的供应商的价格为磋商基准价，其价格分为满分。其他供应商的价格分统一按照下列公式计算：</w:t>
      </w:r>
    </w:p>
    <w:p>
      <w:pPr>
        <w:widowControl/>
        <w:shd w:val="clear" w:color="auto" w:fill="FFFFFF"/>
        <w:ind w:firstLine="482" w:firstLineChars="200"/>
        <w:jc w:val="left"/>
        <w:rPr>
          <w:rFonts w:ascii="宋体" w:hAnsi="宋体" w:eastAsia="宋体" w:cs="宋体"/>
          <w:b/>
          <w:bCs/>
          <w:szCs w:val="24"/>
        </w:rPr>
      </w:pPr>
      <w:r>
        <w:rPr>
          <w:rFonts w:hint="eastAsia" w:ascii="宋体" w:hAnsi="宋体" w:eastAsia="宋体" w:cs="宋体"/>
          <w:b/>
          <w:bCs/>
          <w:szCs w:val="24"/>
        </w:rPr>
        <w:t>磋商报价得分=（磋商基准价/最后磋商报价）×15%×100</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项目评审过程中，不得去掉最后报价中的最高报价和最低报价。</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widowControl/>
        <w:shd w:val="clear" w:color="auto" w:fill="FFFFFF"/>
        <w:ind w:firstLine="482" w:firstLineChars="200"/>
        <w:jc w:val="left"/>
        <w:rPr>
          <w:rFonts w:ascii="宋体" w:hAnsi="宋体" w:eastAsia="宋体" w:cs="宋体"/>
          <w:szCs w:val="24"/>
        </w:rPr>
      </w:pPr>
      <w:r>
        <w:rPr>
          <w:rFonts w:hint="eastAsia" w:ascii="宋体" w:hAnsi="宋体" w:eastAsia="宋体" w:cs="宋体"/>
          <w:b/>
          <w:szCs w:val="24"/>
        </w:rPr>
        <w:t>六、</w:t>
      </w:r>
      <w:r>
        <w:rPr>
          <w:rFonts w:hint="eastAsia" w:ascii="宋体" w:hAnsi="宋体" w:cs="宋体"/>
          <w:b/>
          <w:bCs/>
        </w:rPr>
        <w:t>本项目为专门面向中小企业采购，供应商应为中小微企业、监狱企业、残疾人福利性单位。不执行价格扣除优惠政策。</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七、变更为其他方式采购的情形</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提交响应文件截止时间时参加磋商的供应商不足3家的，及磋商中出现符合专业条件的供应商或对磋商文件作实质响应的供应商不足3家（规定可以2家的情形除外），除采购任务取消外，采购人报告市财政部门或上级主管部门，视情采取其他方式采购。磋商文件中对供应商资质、技术等要求，将作为其他方式采购的基本要求和依据。原已经参加磋商并符合要求的供应商，根据自愿原则，参加其他方式采购。</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八、出现下列情形之一的，竞争性磋商采购活动终止，发布项目终止公告并说明原因，重新开展采购活动：</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（一）因情况变化，不再符合规定的竞争性磋商采购方式适用情形的；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（二）出现影响采购公正的违法、违规行为的；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（三）在采购过程中符合要求的供应商或者报价未超过采购预算的供应商不足3家的（市场竞争不充分的科研项目，以及需要扶持的科技成果转化项目除外）。</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九、成交通知</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成交结果在</w:t>
      </w:r>
      <w:r>
        <w:rPr>
          <w:color w:val="000000"/>
          <w:u w:val="single"/>
        </w:rPr>
        <w:t>南通市生态环境局官网</w:t>
      </w:r>
      <w:r>
        <w:rPr>
          <w:rFonts w:hint="eastAsia" w:ascii="宋体" w:hAnsi="宋体" w:eastAsia="宋体" w:cs="宋体"/>
          <w:szCs w:val="24"/>
        </w:rPr>
        <w:t>公示，公示期限为1个工作日。《成交通知书》一经发出，采购人改变成交结果，或者成交供应商放弃成交的，各自承担相应的法律责任。《成交通知书》是采购合同的组成部分。</w:t>
      </w:r>
      <w:r>
        <w:rPr>
          <w:rFonts w:hint="eastAsia" w:ascii="宋体" w:hAnsi="宋体" w:eastAsia="宋体" w:cs="宋体"/>
          <w:szCs w:val="24"/>
        </w:rPr>
        <w:br w:type="page"/>
      </w:r>
    </w:p>
    <w:p>
      <w:pPr>
        <w:pStyle w:val="5"/>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第五部分 合同签订与验收付款</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一、成交供应商和采购人在接到《成交通知书》后30日</w:t>
      </w:r>
      <w:r>
        <w:rPr>
          <w:rFonts w:hint="eastAsia" w:ascii="宋体" w:hAnsi="宋体" w:eastAsia="宋体" w:cs="宋体"/>
          <w:b/>
          <w:bCs/>
          <w:szCs w:val="24"/>
        </w:rPr>
        <w:t>（疫情防控期间按照15日执行）</w:t>
      </w:r>
      <w:r>
        <w:rPr>
          <w:rFonts w:hint="eastAsia" w:ascii="宋体" w:hAnsi="宋体" w:eastAsia="宋体" w:cs="宋体"/>
          <w:szCs w:val="24"/>
        </w:rPr>
        <w:t>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二、采购人按合同约定积极配合成交供应商履约，成交供应商履约到位后，请以书面形式向采购单位提出验收申请，采购人接到申请后原则上在5个工作日内及时组织相关专业技术人员，必要时邀请行业专家、质检等部门共同参与验收，并出具验收报告，验收合格的原则上5个工作日内支付相应款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四、成交供应商出现违约情形，应当及时纠正或补偿；造成损失的，按合同约定追究违约责任；发现有假冒、伪劣、走私产品、商业贿赂等违法情形的，应由采购人移交市场监督、公安等行政执法部门依法查处。</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五、不响应付款方式的，视同响应文件无效处理。</w:t>
      </w:r>
    </w:p>
    <w:p>
      <w:pPr>
        <w:snapToGrid w:val="0"/>
        <w:ind w:firstLine="480" w:firstLineChars="200"/>
        <w:jc w:val="left"/>
        <w:rPr>
          <w:color w:val="000000"/>
        </w:rPr>
      </w:pPr>
      <w:r>
        <w:rPr>
          <w:color w:val="000000"/>
        </w:rPr>
        <w:t>款项由采购人按相关财务支付规定办理支付手续。不得故意拖延支付时间。</w:t>
      </w:r>
    </w:p>
    <w:p>
      <w:pPr>
        <w:widowControl/>
        <w:shd w:val="clear" w:color="auto" w:fill="FFFFFF"/>
        <w:ind w:firstLine="480" w:firstLineChars="200"/>
        <w:jc w:val="left"/>
        <w:rPr>
          <w:rFonts w:ascii="宋体" w:hAnsi="宋体" w:eastAsia="宋体" w:cs="宋体"/>
          <w:b/>
          <w:bCs/>
          <w:szCs w:val="24"/>
        </w:rPr>
      </w:pPr>
      <w:r>
        <w:rPr>
          <w:color w:val="000000"/>
        </w:rPr>
        <w:t>每次付款前，成交供应商须按采购人要求提供正式发票。</w:t>
      </w:r>
      <w:r>
        <w:rPr>
          <w:rFonts w:hint="eastAsia" w:ascii="宋体" w:hAnsi="宋体" w:eastAsia="宋体" w:cs="宋体"/>
          <w:b/>
          <w:bCs/>
          <w:szCs w:val="24"/>
        </w:rPr>
        <w:br w:type="page"/>
      </w:r>
    </w:p>
    <w:p>
      <w:pPr>
        <w:pStyle w:val="5"/>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第六部分 质疑提出和处理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一、质疑的提出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1.质疑人必须是直接参加本次磋商活动的当事人。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2.领取磋商文件的供应商应根据第二部分“磋商须知”中第一点第1项的约定提出疑问；质疑提出的有效时限，见《中华人民共和国政府采购法实施条例》第五十三条。</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在磋商过程中，凡主持人或磋商小组明确提出须由供应商确认的事项，供应商当场无异议的，事后不得提出质疑。</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3.提出质疑时，必须坚持</w:t>
      </w:r>
      <w:r>
        <w:rPr>
          <w:rFonts w:hint="eastAsia" w:ascii="宋体" w:hAnsi="宋体" w:eastAsia="宋体" w:cs="宋体"/>
          <w:b/>
          <w:szCs w:val="24"/>
        </w:rPr>
        <w:t>“谁主张，谁举证”、“实事求是”</w:t>
      </w:r>
      <w:r>
        <w:rPr>
          <w:rFonts w:hint="eastAsia" w:ascii="宋体" w:hAnsi="宋体" w:eastAsia="宋体" w:cs="宋体"/>
          <w:szCs w:val="24"/>
        </w:rPr>
        <w:t>的原则，不能臆测。属于须由法定部门调查、侦查或先行作出相关认定的事项，质疑人应当依法申请具有法定职权的部门查清、认定，并将相关结果提供给代理机构。代理机构不具有法定调查、认定权限。</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对本次磋商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对不能提供相关佐证材料的、涉及商业秘密的、非书面形式的、非送达的、匿名的《质疑函》将不予受理。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相关佐证材料要具备客观性、关联性、合法性，无法查实的（如宣传册、媒体报道、猜测、推理等）不能作为佐证材料。</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招标代理机构、采购单位不负责搜集相关佐证材料等工作。</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5.质疑人必须在法定质疑期内一次性提出针对本项目采购程序环节的质疑。招标代理机构不接受有权拒绝第二次及以上质疑。</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二、《质疑函》的受理和回复</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1.《质疑函》须由质疑人的法定代表人签字并加盖公章后，由法定代表人或参加本次磋商授权人送达采购单位和代理机构。</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对符合提出质疑要求的，采购单位和代理机构签收并出具《质疑受理通知书》。在处理过程中，发现需要质疑人进一步补充相关佐证材料的，请质疑人在规定的时间内提供，质疑回复时间相应顺延。质疑人不能按时提供相关佐证材料的，视同放弃质疑。</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3.对不符合提出质疑要求的，出具《质疑退回通知书》并提出相关补充材料要求，质疑人未在规定的时间内提供补充佐证材料的，视同放弃质疑。</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4.采购人负责将质疑人提出的质疑相关材料提供给相关专家或磋商小组审核，并将审核意见回复质疑人。</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5.因质疑情况复杂，组织论证或审查时间较长的，采购人以书面形式通知质疑人，可适当延长质疑回复处理时间。</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三、质疑处理</w:t>
      </w:r>
    </w:p>
    <w:p>
      <w:pPr>
        <w:widowControl/>
        <w:shd w:val="clear" w:color="auto" w:fill="FFFFFF"/>
        <w:ind w:firstLine="482" w:firstLineChars="200"/>
        <w:jc w:val="left"/>
        <w:rPr>
          <w:rFonts w:ascii="宋体" w:hAnsi="宋体" w:eastAsia="宋体" w:cs="宋体"/>
          <w:szCs w:val="24"/>
        </w:rPr>
      </w:pPr>
      <w:r>
        <w:rPr>
          <w:rFonts w:hint="eastAsia" w:ascii="宋体" w:hAnsi="宋体" w:eastAsia="宋体" w:cs="宋体"/>
          <w:b/>
          <w:szCs w:val="24"/>
        </w:rPr>
        <w:t>1.质疑成立的处理。</w:t>
      </w:r>
      <w:r>
        <w:rPr>
          <w:rFonts w:hint="eastAsia" w:ascii="宋体" w:hAnsi="宋体" w:eastAsia="宋体" w:cs="宋体"/>
          <w:szCs w:val="24"/>
        </w:rPr>
        <w:t>采购人终止采购，并建议有关部门给相关当事人予以处理。</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2.质疑不成立的处理。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（1）质疑人书面《申请撤回质疑函》的，不作违约处理。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（2）质疑人在规定的时间内不配合进行质疑调查处理的，按自动撤回《质疑函》处理。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（3）质疑人不按《质疑函》格式就提出质疑的，作违约处理。代理机构有权建议政府采购主管部门取消会员供应商资格三个月的违约处理；同时，视情列入不良供应商名单。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质疑人虽提供了相关佐证材料，但不能证明其质疑成立的，采购人请质疑人补充相关佐证材料，仍不能证明其质疑成立的，作违约处理。代理机构有权建议政府采购主管部门取消会员供应商资格六个月的违约处理；同时，列入不良供应商名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（5）质疑人不能提供相关佐证材料的，采购人已指出，质疑人仍然坚持提出质疑的，作违约处理。代理机构有权建议政府采购主管部门取消会员供应商资格一年的违约处理；同时，列入不良供应商名单。</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6）对明显有违事实的、经相关专家或磋商小组认定无依据的、经其他供应商举证无依据的质疑，作违约处理，采购人有权建议政府采购主管部门取消会员供应商资格一年的违约处理，列入不良供应商名单；同时，对其中每一项不成立的质疑给予质疑人1年内禁入由采购人组织的政府采购活动的违约处理，依次类推；视情在南通公共资源交易平台、省、国家级相关媒体予以披露。</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（7）质疑人承担使用虚假材料或恶意方式质疑的法律责任。</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（8）代理机构有权根据违约情节轻重，限制质疑人参加采购人组织的政府采购活动。情节严重的，代理机构将质疑人列入黑名单，有权给予质疑人1年内禁入由代理机构代理的政府采购活动的违约处理。</w:t>
      </w:r>
    </w:p>
    <w:p>
      <w:pPr>
        <w:widowControl/>
        <w:shd w:val="clear" w:color="auto" w:fill="FFFFFF"/>
        <w:ind w:firstLine="482" w:firstLineChars="200"/>
        <w:jc w:val="left"/>
        <w:rPr>
          <w:rFonts w:ascii="宋体" w:hAnsi="宋体" w:eastAsia="宋体" w:cs="宋体"/>
          <w:szCs w:val="24"/>
        </w:rPr>
      </w:pPr>
      <w:r>
        <w:rPr>
          <w:rFonts w:hint="eastAsia" w:ascii="宋体" w:hAnsi="宋体" w:eastAsia="宋体" w:cs="宋体"/>
          <w:b/>
          <w:szCs w:val="24"/>
        </w:rPr>
        <w:t>四、无佐证材料的举报作违约处理。</w:t>
      </w:r>
      <w:r>
        <w:rPr>
          <w:rFonts w:hint="eastAsia" w:ascii="宋体" w:hAnsi="宋体" w:eastAsia="宋体" w:cs="宋体"/>
          <w:szCs w:val="24"/>
        </w:rPr>
        <w:t>供应商不得进行不提供相关佐证材料（含无法查实的如宣传册、媒体报道、猜测、推理等）向有关部门的举报，否则作违约处理。采购人有权建议政府采购主管部门取消其相应的会员供应商资格，同时对其在1至3年内禁入由采购人组织的政府采购活动的违约处理。</w:t>
      </w:r>
    </w:p>
    <w:p>
      <w:pPr>
        <w:widowControl/>
        <w:shd w:val="clear" w:color="auto" w:fill="FFFFFF"/>
        <w:ind w:firstLine="482" w:firstLineChars="200"/>
        <w:jc w:val="left"/>
        <w:rPr>
          <w:rFonts w:ascii="宋体" w:hAnsi="宋体" w:eastAsia="宋体" w:cs="宋体"/>
          <w:szCs w:val="24"/>
        </w:rPr>
      </w:pPr>
      <w:r>
        <w:rPr>
          <w:rFonts w:hint="eastAsia" w:ascii="宋体" w:hAnsi="宋体" w:eastAsia="宋体" w:cs="宋体"/>
          <w:b/>
          <w:szCs w:val="24"/>
        </w:rPr>
        <w:t>五、投诉不成立的作违约处理。</w:t>
      </w:r>
      <w:r>
        <w:rPr>
          <w:rFonts w:hint="eastAsia" w:ascii="宋体" w:hAnsi="宋体" w:eastAsia="宋体" w:cs="宋体"/>
          <w:szCs w:val="24"/>
        </w:rPr>
        <w:t>供应商进行质疑后，采购人回复质疑不成立，供应商仍进行投诉的，并最终投诉不成立的，作违约处理。采购人有权建议政府采购主管部门取消其相应的会员供应商资格，同时对其在1至3年内禁入由采购人组织的政府采购活动的违约处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六、《质疑函》、《质疑回复函》，质疑、举报、投诉不成立的等相关情况，视情在南通公共资源交易平台、省、国家级等相关媒体予以披露。并建议相关政府采购机构对该供应商同步实施1至3年内禁入。</w:t>
      </w:r>
    </w:p>
    <w:p>
      <w:pPr>
        <w:widowControl/>
        <w:jc w:val="left"/>
        <w:rPr>
          <w:rFonts w:ascii="宋体" w:hAnsi="宋体" w:eastAsia="宋体" w:cs="宋体"/>
          <w:szCs w:val="24"/>
        </w:rPr>
      </w:pPr>
      <w:r>
        <w:rPr>
          <w:rFonts w:hint="eastAsia" w:ascii="宋体" w:hAnsi="宋体" w:eastAsia="宋体" w:cs="宋体"/>
          <w:szCs w:val="24"/>
        </w:rPr>
        <w:br w:type="page"/>
      </w:r>
    </w:p>
    <w:p>
      <w:pPr>
        <w:pStyle w:val="5"/>
        <w:spacing w:beforeLines="50" w:afterLines="50" w:line="360" w:lineRule="auto"/>
        <w:jc w:val="center"/>
        <w:rPr>
          <w:rFonts w:ascii="宋体" w:hAnsi="宋体" w:eastAsia="宋体" w:cs="宋体"/>
          <w:sz w:val="36"/>
          <w:szCs w:val="36"/>
        </w:rPr>
      </w:pPr>
      <w:r>
        <w:rPr>
          <w:rFonts w:hint="eastAsia" w:ascii="宋体" w:hAnsi="宋体" w:eastAsia="宋体" w:cs="宋体"/>
          <w:sz w:val="36"/>
          <w:szCs w:val="36"/>
        </w:rPr>
        <w:t>第七部分 响应文件组成</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响应文件由资格审查证明材料、商务技术响应文件、价格响应文件三部分组成。</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一、资格审查证明材料（一正两副，单独密封并牢固装订）：</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1.关于资格的声明函；（附件1）</w:t>
      </w:r>
    </w:p>
    <w:p>
      <w:pPr>
        <w:widowControl/>
        <w:shd w:val="clear" w:color="auto" w:fill="FFFFFF"/>
        <w:ind w:firstLine="480" w:firstLineChars="200"/>
        <w:jc w:val="left"/>
      </w:pPr>
      <w:r>
        <w:rPr>
          <w:rFonts w:hint="eastAsia" w:ascii="宋体" w:hAnsi="宋体" w:eastAsia="宋体" w:cs="宋体"/>
          <w:szCs w:val="24"/>
        </w:rPr>
        <w:t>2.中小企业申明函；（附件11）</w:t>
      </w:r>
    </w:p>
    <w:p>
      <w:pPr>
        <w:widowControl/>
        <w:shd w:val="clear" w:color="auto" w:fill="FFFFFF"/>
        <w:ind w:firstLine="480" w:firstLineChars="200"/>
        <w:jc w:val="left"/>
        <w:rPr>
          <w:rFonts w:ascii="Times New Roman" w:hAnsi="Times New Roman" w:cs="Times New Roman"/>
          <w:color w:val="000000"/>
        </w:rPr>
      </w:pPr>
      <w:r>
        <w:rPr>
          <w:rFonts w:hint="eastAsia" w:ascii="宋体" w:hAnsi="宋体" w:eastAsia="宋体" w:cs="宋体"/>
          <w:szCs w:val="24"/>
        </w:rPr>
        <w:t>3.法定代表人参加投标的,须提供法定代表人身份证明书原件及本人身份证复印件（附件2）；非法定代表人参加投标的，必须提供法定代表人签字或盖章的授权委托书及法定代表人、被授权人两人身份证的复印件</w:t>
      </w:r>
      <w:r>
        <w:rPr>
          <w:rFonts w:ascii="Times New Roman" w:hAnsi="Times New Roman" w:cs="Times New Roman"/>
        </w:rPr>
        <w:t>；</w:t>
      </w:r>
      <w:r>
        <w:rPr>
          <w:rFonts w:hint="eastAsia" w:ascii="宋体" w:hAnsi="宋体" w:eastAsia="宋体" w:cs="宋体"/>
          <w:szCs w:val="24"/>
        </w:rPr>
        <w:t>（附件3）</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4.请按竞争性磋商公告资格要求提供相应的佐证材料（提供复印件并加盖公章）；</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4.1法人或其他组织的营业执照</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4.2具有良好的商业信誉和健全的财务会计制度（2021年度经审计的财务报告，包括资产负债表、现金流量表、利润表，成立不满一年不需提供）；</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4.3有依法缴纳税收和社会保障资金的良好记录（参加本次政府采购活动前六个月内（至少一个月），依法缴纳税收和社会保障资金的相关材料并加盖公章）；</w:t>
      </w:r>
    </w:p>
    <w:p>
      <w:pPr>
        <w:widowControl/>
        <w:shd w:val="clear" w:color="auto" w:fill="FFFFFF"/>
        <w:ind w:firstLine="480" w:firstLineChars="200"/>
        <w:jc w:val="left"/>
      </w:pPr>
      <w:r>
        <w:rPr>
          <w:rFonts w:hint="eastAsia" w:ascii="宋体" w:hAnsi="宋体" w:eastAsia="宋体" w:cs="宋体"/>
          <w:szCs w:val="24"/>
        </w:rPr>
        <w:t>4.4具有履行合同所必需的设备和专业技术能力（根据项目需求提供履行合同所必需的设备和专业技术能力的声明及证明材料并加盖公章）；（附件4）</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4.5</w:t>
      </w:r>
      <w:r>
        <w:rPr>
          <w:rFonts w:ascii="Times New Roman" w:hAnsi="Times New Roman" w:cs="Times New Roman"/>
          <w:color w:val="000000"/>
        </w:rPr>
        <w:t>参与本次项目政府采购活动前三年内，在经营活动中没有重大违法记录的书面《无</w:t>
      </w:r>
      <w:r>
        <w:rPr>
          <w:rFonts w:hint="eastAsia" w:ascii="宋体" w:hAnsi="宋体" w:eastAsia="宋体" w:cs="宋体"/>
          <w:szCs w:val="24"/>
        </w:rPr>
        <w:t>重大违法记录声明函》；（附件5）</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4.6提供未被“信用中国”网站（www.creditchina.gov.cn）列入失信被执行人、重大税收违法案件当事人名单、政府采购严重失信行为记录名单截图；</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4.7其它需要提交的资格审查证明材料。</w:t>
      </w:r>
    </w:p>
    <w:p>
      <w:pPr>
        <w:pStyle w:val="10"/>
        <w:ind w:firstLine="480" w:firstLineChars="200"/>
        <w:rPr>
          <w:rFonts w:ascii="宋体" w:hAnsi="宋体" w:eastAsia="宋体" w:cs="宋体"/>
          <w:sz w:val="24"/>
          <w:szCs w:val="24"/>
        </w:rPr>
      </w:pPr>
      <w:r>
        <w:rPr>
          <w:rFonts w:hint="eastAsia" w:ascii="宋体" w:hAnsi="宋体" w:eastAsia="宋体" w:cs="宋体"/>
          <w:sz w:val="24"/>
          <w:szCs w:val="24"/>
        </w:rPr>
        <w:t>5.承诺书；（附件6）</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二、商务技术响应文件（不能出现报价；一正两副，单独密封并牢固装订）：</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1.竞争性磋商响应函（附件7）</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2.磋商供应商情况一览表（附件8）；</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3.商务部分正负偏离表（附件9）；</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4.技术部分正负偏离表（附件9）；</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填制正负偏离表，完全响应的，请以空白表列示。不完全响应的，必须在偏离表中列示；列示不全的，视同故意隐瞒。</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5.</w:t>
      </w:r>
      <w:r>
        <w:rPr>
          <w:rFonts w:ascii="Times New Roman" w:hAnsi="Times New Roman" w:cs="Times New Roman"/>
          <w:color w:val="000000"/>
        </w:rPr>
        <w:t>商务技术部分评标办法中要求提供的全部资料</w:t>
      </w:r>
      <w:r>
        <w:rPr>
          <w:rFonts w:hint="eastAsia" w:ascii="宋体" w:hAnsi="宋体" w:eastAsia="宋体" w:cs="宋体"/>
          <w:szCs w:val="24"/>
        </w:rPr>
        <w:t>，为方便评委评审，请供应商按评审办法中所涉及的事项顺序进行编制，可以补充相关材料。</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6.评审办法中未涉及的事项，供应商认为需要提交的其他资料。</w:t>
      </w:r>
    </w:p>
    <w:p>
      <w:pPr>
        <w:widowControl/>
        <w:shd w:val="clear" w:color="auto" w:fill="FFFFFF"/>
        <w:ind w:firstLine="482" w:firstLineChars="200"/>
        <w:jc w:val="left"/>
        <w:rPr>
          <w:rFonts w:ascii="宋体" w:hAnsi="宋体" w:eastAsia="宋体" w:cs="宋体"/>
          <w:b/>
          <w:szCs w:val="24"/>
        </w:rPr>
      </w:pPr>
      <w:r>
        <w:rPr>
          <w:rFonts w:hint="eastAsia" w:ascii="宋体" w:hAnsi="宋体" w:eastAsia="宋体" w:cs="宋体"/>
          <w:b/>
          <w:szCs w:val="24"/>
        </w:rPr>
        <w:t>三、价格响应文件，一正两副（单独密封并牢固装订），不得出现在商务技术响应文件部分：</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1.报价总表（附件10）；</w:t>
      </w:r>
    </w:p>
    <w:p>
      <w:pPr>
        <w:widowControl/>
        <w:shd w:val="clear" w:color="auto" w:fill="FFFFFF"/>
        <w:ind w:firstLine="480" w:firstLineChars="200"/>
        <w:jc w:val="left"/>
        <w:rPr>
          <w:rFonts w:ascii="宋体" w:hAnsi="宋体" w:eastAsia="宋体" w:cs="宋体"/>
          <w:szCs w:val="24"/>
        </w:rPr>
      </w:pPr>
      <w:r>
        <w:rPr>
          <w:rFonts w:hint="eastAsia" w:ascii="宋体" w:hAnsi="宋体" w:eastAsia="宋体" w:cs="宋体"/>
          <w:szCs w:val="24"/>
        </w:rPr>
        <w:t>2.报价明细表（格式自拟）。</w:t>
      </w:r>
    </w:p>
    <w:p>
      <w:pPr>
        <w:widowControl/>
        <w:shd w:val="clear" w:color="auto" w:fill="FFFFFF"/>
        <w:ind w:firstLine="480" w:firstLineChars="200"/>
        <w:jc w:val="left"/>
        <w:rPr>
          <w:rFonts w:ascii="宋体" w:hAnsi="宋体" w:eastAsia="宋体" w:cs="宋体"/>
          <w:szCs w:val="24"/>
          <w:lang w:val="zh-CN"/>
        </w:rPr>
      </w:pPr>
      <w:r>
        <w:rPr>
          <w:rFonts w:hint="eastAsia" w:ascii="宋体" w:hAnsi="宋体" w:eastAsia="宋体" w:cs="宋体"/>
          <w:szCs w:val="24"/>
          <w:lang w:val="zh-CN"/>
        </w:rPr>
        <w:t>3</w:t>
      </w:r>
      <w:r>
        <w:rPr>
          <w:rFonts w:hint="eastAsia" w:ascii="宋体" w:hAnsi="宋体" w:eastAsia="宋体" w:cs="宋体"/>
          <w:szCs w:val="24"/>
        </w:rPr>
        <w:t>.小微企业、监狱企业、残疾人福利单位（如有）</w:t>
      </w:r>
      <w:r>
        <w:rPr>
          <w:rFonts w:hint="eastAsia" w:ascii="宋体" w:hAnsi="宋体" w:eastAsia="宋体" w:cs="宋体"/>
          <w:szCs w:val="24"/>
          <w:lang w:val="zh-CN"/>
        </w:rPr>
        <w:t>。</w:t>
      </w:r>
    </w:p>
    <w:p>
      <w:pPr>
        <w:widowControl/>
        <w:jc w:val="left"/>
        <w:rPr>
          <w:rFonts w:ascii="宋体" w:hAnsi="宋体" w:eastAsia="宋体" w:cs="宋体"/>
          <w:szCs w:val="24"/>
        </w:rPr>
      </w:pPr>
      <w:r>
        <w:rPr>
          <w:rFonts w:hint="eastAsia" w:ascii="宋体" w:hAnsi="宋体" w:eastAsia="宋体" w:cs="宋体"/>
          <w:szCs w:val="24"/>
        </w:rPr>
        <w:br w:type="page"/>
      </w:r>
    </w:p>
    <w:p>
      <w:pPr>
        <w:widowControl/>
        <w:shd w:val="clear" w:color="auto" w:fill="FFFFFF"/>
        <w:jc w:val="left"/>
        <w:outlineLvl w:val="1"/>
        <w:rPr>
          <w:rFonts w:ascii="宋体" w:hAnsi="宋体" w:eastAsia="宋体" w:cs="宋体"/>
          <w:b/>
          <w:szCs w:val="24"/>
        </w:rPr>
      </w:pPr>
      <w:bookmarkStart w:id="8" w:name="_Toc44750623"/>
      <w:r>
        <w:rPr>
          <w:rFonts w:hint="eastAsia" w:ascii="宋体" w:hAnsi="宋体" w:eastAsia="宋体" w:cs="宋体"/>
          <w:b/>
          <w:szCs w:val="24"/>
        </w:rPr>
        <w:t>附件1：关于资格的声明函</w:t>
      </w:r>
      <w:bookmarkEnd w:id="8"/>
    </w:p>
    <w:p>
      <w:pPr>
        <w:widowControl/>
        <w:shd w:val="clear" w:color="auto" w:fill="FFFFFF"/>
        <w:jc w:val="left"/>
        <w:rPr>
          <w:rFonts w:ascii="宋体" w:hAnsi="宋体" w:eastAsia="宋体" w:cs="宋体"/>
          <w:szCs w:val="24"/>
        </w:rPr>
      </w:pPr>
      <w:r>
        <w:rPr>
          <w:rFonts w:hint="eastAsia" w:ascii="宋体" w:hAnsi="宋体" w:eastAsia="宋体" w:cs="宋体"/>
          <w:szCs w:val="24"/>
        </w:rPr>
        <w:t>南通市生态环境局：</w:t>
      </w:r>
    </w:p>
    <w:p>
      <w:pPr>
        <w:overflowPunct w:val="0"/>
        <w:adjustRightInd w:val="0"/>
        <w:ind w:firstLine="480" w:firstLineChars="200"/>
        <w:jc w:val="left"/>
        <w:textAlignment w:val="baseline"/>
      </w:pPr>
      <w:r>
        <w:t>本公司愿就由贵单位组织实施的（招标项目名称及项目编号</w:t>
      </w:r>
      <w:r>
        <w:rPr>
          <w:rFonts w:hint="eastAsia"/>
        </w:rPr>
        <w:t>）</w:t>
      </w:r>
      <w:r>
        <w:t>的招标活动进行投标。本公司所提交的投标文件中所有关于投标资格的文件、证明和陈述均是真实的、准确的。若与真实情况不符，本公司愿意承担由此而产生的一切后果。</w:t>
      </w:r>
    </w:p>
    <w:p>
      <w:pPr>
        <w:snapToGrid w:val="0"/>
        <w:jc w:val="center"/>
        <w:rPr>
          <w:b/>
          <w:sz w:val="28"/>
          <w:szCs w:val="28"/>
        </w:rPr>
      </w:pPr>
    </w:p>
    <w:p>
      <w:pPr>
        <w:widowControl/>
        <w:jc w:val="right"/>
        <w:rPr>
          <w:rFonts w:ascii="宋体" w:hAnsi="宋体" w:eastAsia="宋体" w:cs="宋体"/>
          <w:szCs w:val="24"/>
        </w:rPr>
      </w:pPr>
    </w:p>
    <w:p>
      <w:pPr>
        <w:spacing w:before="120" w:after="120"/>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spacing w:before="120" w:after="120"/>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spacing w:before="120" w:after="120"/>
        <w:ind w:firstLine="480" w:firstLineChars="200"/>
        <w:rPr>
          <w:rFonts w:ascii="宋体" w:hAnsi="宋体" w:eastAsia="宋体" w:cs="宋体"/>
          <w:szCs w:val="24"/>
        </w:rPr>
      </w:pPr>
      <w:r>
        <w:rPr>
          <w:rFonts w:hint="eastAsia" w:ascii="宋体" w:hAnsi="宋体" w:eastAsia="宋体" w:cs="宋体"/>
          <w:szCs w:val="24"/>
        </w:rPr>
        <w:t>日    期：     年   月    日</w:t>
      </w:r>
    </w:p>
    <w:p>
      <w:pPr>
        <w:widowControl/>
        <w:jc w:val="right"/>
        <w:rPr>
          <w:rFonts w:ascii="宋体" w:hAnsi="宋体" w:eastAsia="宋体" w:cs="宋体"/>
          <w:szCs w:val="24"/>
        </w:rPr>
      </w:pPr>
      <w:r>
        <w:rPr>
          <w:rFonts w:hint="eastAsia" w:ascii="宋体" w:hAnsi="宋体" w:eastAsia="宋体" w:cs="宋体"/>
          <w:szCs w:val="24"/>
        </w:rPr>
        <w:br w:type="page"/>
      </w:r>
    </w:p>
    <w:p>
      <w:pPr>
        <w:widowControl/>
        <w:shd w:val="clear" w:color="auto" w:fill="FFFFFF"/>
        <w:jc w:val="left"/>
        <w:outlineLvl w:val="1"/>
        <w:rPr>
          <w:rFonts w:ascii="宋体" w:hAnsi="宋体" w:eastAsia="宋体" w:cs="宋体"/>
          <w:b/>
          <w:szCs w:val="24"/>
        </w:rPr>
      </w:pPr>
      <w:bookmarkStart w:id="9" w:name="_Toc44750624"/>
      <w:r>
        <w:rPr>
          <w:rFonts w:hint="eastAsia" w:ascii="宋体" w:hAnsi="宋体" w:eastAsia="宋体" w:cs="宋体"/>
          <w:b/>
          <w:szCs w:val="24"/>
        </w:rPr>
        <w:t>附件2：法定代表人身份证明书</w:t>
      </w:r>
      <w:bookmarkEnd w:id="9"/>
    </w:p>
    <w:p>
      <w:pPr>
        <w:widowControl/>
        <w:shd w:val="clear" w:color="auto" w:fill="FFFFFF"/>
        <w:jc w:val="left"/>
        <w:rPr>
          <w:rFonts w:ascii="宋体" w:hAnsi="宋体" w:eastAsia="宋体" w:cs="宋体"/>
          <w:szCs w:val="24"/>
        </w:rPr>
      </w:pPr>
    </w:p>
    <w:p>
      <w:pPr>
        <w:ind w:firstLine="480" w:firstLineChars="200"/>
        <w:jc w:val="left"/>
        <w:rPr>
          <w:rFonts w:ascii="宋体" w:hAnsi="宋体" w:eastAsia="宋体" w:cs="宋体"/>
          <w:szCs w:val="24"/>
        </w:rPr>
      </w:pPr>
      <w:r>
        <w:rPr>
          <w:rFonts w:hint="eastAsia" w:ascii="宋体" w:hAnsi="宋体" w:eastAsia="宋体" w:cs="宋体"/>
          <w:szCs w:val="24"/>
        </w:rPr>
        <w:t>先生／女士：现任我单位职务，为法定代表人，特此证明。</w:t>
      </w:r>
    </w:p>
    <w:p>
      <w:pPr>
        <w:ind w:firstLine="480" w:firstLineChars="200"/>
        <w:rPr>
          <w:rFonts w:ascii="宋体" w:hAnsi="宋体" w:eastAsia="宋体" w:cs="宋体"/>
          <w:szCs w:val="24"/>
        </w:rPr>
      </w:pPr>
      <w:r>
        <w:rPr>
          <w:rFonts w:hint="eastAsia" w:ascii="宋体" w:hAnsi="宋体" w:eastAsia="宋体" w:cs="宋体"/>
          <w:szCs w:val="24"/>
        </w:rPr>
        <w:t>身份证号码：</w:t>
      </w:r>
    </w:p>
    <w:p>
      <w:pPr>
        <w:ind w:firstLine="480" w:firstLineChars="200"/>
        <w:rPr>
          <w:rFonts w:ascii="宋体" w:hAnsi="宋体" w:eastAsia="宋体" w:cs="宋体"/>
          <w:szCs w:val="24"/>
        </w:rPr>
      </w:pPr>
    </w:p>
    <w:p>
      <w:pPr>
        <w:rPr>
          <w:rFonts w:ascii="宋体" w:hAnsi="宋体" w:eastAsia="宋体" w:cs="宋体"/>
          <w:szCs w:val="24"/>
        </w:rPr>
      </w:pPr>
      <w:r>
        <w:rPr>
          <w:rFonts w:hint="eastAsia" w:ascii="宋体" w:hAnsi="宋体" w:eastAsia="宋体" w:cs="宋体"/>
          <w:szCs w:val="24"/>
        </w:rPr>
        <w:t>供应商全称（公章）：</w:t>
      </w:r>
    </w:p>
    <w:p>
      <w:pPr>
        <w:rPr>
          <w:rFonts w:ascii="宋体" w:hAnsi="宋体" w:eastAsia="宋体" w:cs="宋体"/>
          <w:szCs w:val="24"/>
        </w:rPr>
      </w:pPr>
      <w:r>
        <w:rPr>
          <w:rFonts w:hint="eastAsia" w:ascii="宋体" w:hAnsi="宋体" w:eastAsia="宋体" w:cs="宋体"/>
          <w:szCs w:val="24"/>
        </w:rPr>
        <w:t>法定代表人（签字）：</w:t>
      </w:r>
    </w:p>
    <w:p>
      <w:pPr>
        <w:rPr>
          <w:rFonts w:ascii="宋体" w:hAnsi="宋体" w:eastAsia="宋体" w:cs="宋体"/>
          <w:szCs w:val="24"/>
        </w:rPr>
      </w:pPr>
      <w:r>
        <w:rPr>
          <w:rFonts w:hint="eastAsia" w:ascii="宋体" w:hAnsi="宋体" w:eastAsia="宋体" w:cs="宋体"/>
          <w:szCs w:val="24"/>
        </w:rPr>
        <w:t>响应日期：     年     月    日</w:t>
      </w:r>
    </w:p>
    <w:p>
      <w:pPr>
        <w:ind w:firstLine="480" w:firstLineChars="200"/>
        <w:rPr>
          <w:rFonts w:ascii="宋体" w:hAnsi="宋体" w:eastAsia="宋体" w:cs="宋体"/>
          <w:szCs w:val="24"/>
        </w:rPr>
      </w:pPr>
    </w:p>
    <w:p>
      <w:pPr>
        <w:rPr>
          <w:rFonts w:ascii="宋体" w:hAnsi="宋体" w:eastAsia="宋体" w:cs="宋体"/>
          <w:szCs w:val="24"/>
        </w:rPr>
      </w:pPr>
      <w:r>
        <w:rPr>
          <w:rFonts w:hint="eastAsia" w:ascii="宋体" w:hAnsi="宋体" w:eastAsia="宋体" w:cs="宋体"/>
          <w:szCs w:val="24"/>
        </w:rPr>
        <w:t>注：提供法定代表人的身份证复印件盖公章</w:t>
      </w:r>
    </w:p>
    <w:p>
      <w:pPr>
        <w:ind w:firstLine="480" w:firstLineChars="200"/>
        <w:rPr>
          <w:rFonts w:ascii="宋体" w:hAnsi="宋体" w:eastAsia="宋体" w:cs="宋体"/>
          <w:szCs w:val="24"/>
        </w:rPr>
      </w:pPr>
    </w:p>
    <w:p>
      <w:pPr>
        <w:widowControl/>
        <w:jc w:val="left"/>
        <w:rPr>
          <w:rFonts w:ascii="宋体" w:hAnsi="宋体" w:eastAsia="宋体" w:cs="宋体"/>
          <w:szCs w:val="24"/>
        </w:rPr>
      </w:pPr>
      <w:r>
        <w:rPr>
          <w:rFonts w:hint="eastAsia" w:ascii="宋体" w:hAnsi="宋体" w:eastAsia="宋体" w:cs="宋体"/>
          <w:szCs w:val="24"/>
        </w:rPr>
        <w:br w:type="page"/>
      </w:r>
    </w:p>
    <w:p>
      <w:pPr>
        <w:widowControl/>
        <w:shd w:val="clear" w:color="auto" w:fill="FFFFFF"/>
        <w:jc w:val="left"/>
        <w:outlineLvl w:val="1"/>
        <w:rPr>
          <w:rFonts w:ascii="宋体" w:hAnsi="宋体" w:eastAsia="宋体" w:cs="宋体"/>
          <w:b/>
          <w:szCs w:val="24"/>
        </w:rPr>
      </w:pPr>
      <w:bookmarkStart w:id="10" w:name="_Toc44750625"/>
      <w:r>
        <w:rPr>
          <w:rFonts w:hint="eastAsia" w:ascii="宋体" w:hAnsi="宋体" w:eastAsia="宋体" w:cs="宋体"/>
          <w:b/>
          <w:szCs w:val="24"/>
        </w:rPr>
        <w:t>附件3：法定代表人授权委托书</w:t>
      </w:r>
      <w:bookmarkEnd w:id="10"/>
    </w:p>
    <w:p>
      <w:pPr>
        <w:widowControl/>
        <w:shd w:val="clear" w:color="auto" w:fill="FFFFFF"/>
        <w:jc w:val="left"/>
        <w:rPr>
          <w:rFonts w:ascii="宋体" w:hAnsi="宋体" w:eastAsia="宋体" w:cs="宋体"/>
          <w:szCs w:val="24"/>
        </w:rPr>
      </w:pPr>
      <w:r>
        <w:t>南通市生态环境局</w:t>
      </w: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本授权委托书声明：我系的法定代表人，现授权委托为我公司代理人，以本公司的名义参加本项目的响应活动。代理人在开标、评审、合同谈判过程中所签署的一切文件和处理与之有关的一切事务，我均予以承认。</w:t>
      </w:r>
    </w:p>
    <w:p>
      <w:pPr>
        <w:ind w:firstLine="480" w:firstLineChars="200"/>
        <w:rPr>
          <w:rFonts w:ascii="宋体" w:hAnsi="宋体" w:eastAsia="宋体" w:cs="宋体"/>
          <w:szCs w:val="24"/>
        </w:rPr>
      </w:pPr>
      <w:r>
        <w:rPr>
          <w:rFonts w:hint="eastAsia" w:ascii="宋体" w:hAnsi="宋体" w:eastAsia="宋体" w:cs="宋体"/>
          <w:szCs w:val="24"/>
        </w:rPr>
        <w:t>被委托授权人无转委权。特此委托。</w:t>
      </w:r>
    </w:p>
    <w:p>
      <w:pPr>
        <w:rPr>
          <w:rFonts w:ascii="宋体" w:hAnsi="宋体" w:eastAsia="宋体" w:cs="宋体"/>
          <w:szCs w:val="24"/>
        </w:rPr>
      </w:pPr>
      <w:r>
        <w:rPr>
          <w:rFonts w:hint="eastAsia" w:ascii="宋体" w:hAnsi="宋体" w:eastAsia="宋体" w:cs="宋体"/>
          <w:szCs w:val="24"/>
        </w:rPr>
        <w:t>被委托授权人身份证号：</w:t>
      </w:r>
    </w:p>
    <w:p>
      <w:pPr>
        <w:rPr>
          <w:rFonts w:ascii="宋体" w:hAnsi="宋体" w:eastAsia="宋体" w:cs="宋体"/>
          <w:szCs w:val="24"/>
        </w:rPr>
      </w:pPr>
      <w:r>
        <w:rPr>
          <w:rFonts w:hint="eastAsia" w:ascii="宋体" w:hAnsi="宋体" w:eastAsia="宋体" w:cs="宋体"/>
          <w:szCs w:val="24"/>
        </w:rPr>
        <w:t>被委托授权人签字：</w:t>
      </w:r>
    </w:p>
    <w:p>
      <w:pPr>
        <w:rPr>
          <w:rFonts w:ascii="宋体" w:hAnsi="宋体" w:eastAsia="宋体" w:cs="宋体"/>
          <w:szCs w:val="24"/>
        </w:rPr>
      </w:pPr>
    </w:p>
    <w:p>
      <w:pPr>
        <w:rPr>
          <w:rFonts w:ascii="宋体" w:hAnsi="宋体" w:eastAsia="宋体" w:cs="宋体"/>
          <w:szCs w:val="24"/>
        </w:rPr>
      </w:pPr>
      <w:r>
        <w:rPr>
          <w:rFonts w:hint="eastAsia" w:ascii="宋体" w:hAnsi="宋体" w:eastAsia="宋体" w:cs="宋体"/>
          <w:szCs w:val="24"/>
        </w:rPr>
        <w:t>供应商全称（公章）：</w:t>
      </w:r>
    </w:p>
    <w:p>
      <w:pPr>
        <w:rPr>
          <w:rFonts w:ascii="宋体" w:hAnsi="宋体" w:eastAsia="宋体" w:cs="宋体"/>
          <w:szCs w:val="24"/>
        </w:rPr>
      </w:pPr>
      <w:r>
        <w:rPr>
          <w:rFonts w:hint="eastAsia" w:ascii="宋体" w:hAnsi="宋体" w:eastAsia="宋体" w:cs="宋体"/>
          <w:szCs w:val="24"/>
        </w:rPr>
        <w:t>法定代表人（签字）：</w:t>
      </w:r>
    </w:p>
    <w:p>
      <w:pPr>
        <w:rPr>
          <w:rFonts w:ascii="宋体" w:hAnsi="宋体" w:eastAsia="宋体" w:cs="宋体"/>
          <w:szCs w:val="24"/>
        </w:rPr>
      </w:pPr>
      <w:r>
        <w:rPr>
          <w:rFonts w:hint="eastAsia" w:ascii="宋体" w:hAnsi="宋体" w:eastAsia="宋体" w:cs="宋体"/>
          <w:szCs w:val="24"/>
        </w:rPr>
        <w:t>响应日期：     年     月    日</w:t>
      </w:r>
    </w:p>
    <w:p>
      <w:pPr>
        <w:rPr>
          <w:rFonts w:ascii="宋体" w:hAnsi="宋体" w:cs="宋体"/>
        </w:rPr>
      </w:pPr>
      <w:r>
        <w:rPr>
          <w:rFonts w:hint="eastAsia" w:ascii="宋体" w:hAnsi="宋体" w:cs="宋体"/>
        </w:rPr>
        <w:t>法定代表人身份证复印件（正反面）</w:t>
      </w:r>
    </w:p>
    <w:p>
      <w:pPr>
        <w:rPr>
          <w:rFonts w:ascii="宋体" w:hAnsi="宋体" w:cs="宋体"/>
        </w:rPr>
      </w:pPr>
    </w:p>
    <w:p>
      <w:pPr>
        <w:ind w:firstLine="2160" w:firstLineChars="900"/>
        <w:rPr>
          <w:rFonts w:ascii="宋体" w:hAnsi="宋体" w:cs="宋体"/>
        </w:rPr>
      </w:pPr>
      <w:r>
        <w:rPr>
          <w:rFonts w:hint="eastAsia" w:ascii="宋体" w:hAnsi="宋体" w:cs="宋体"/>
        </w:rPr>
        <w:t>（粘贴此处）</w:t>
      </w: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被授权人身份证复印件（正反面）</w:t>
      </w:r>
    </w:p>
    <w:p>
      <w:pPr>
        <w:rPr>
          <w:rFonts w:ascii="宋体" w:hAnsi="宋体" w:cs="宋体"/>
        </w:rPr>
      </w:pPr>
    </w:p>
    <w:p>
      <w:pPr>
        <w:rPr>
          <w:rFonts w:ascii="宋体" w:hAnsi="宋体" w:cs="宋体"/>
        </w:rPr>
      </w:pPr>
    </w:p>
    <w:p>
      <w:pPr>
        <w:rPr>
          <w:rFonts w:ascii="宋体" w:hAnsi="宋体" w:cs="宋体"/>
        </w:rPr>
      </w:pPr>
    </w:p>
    <w:p>
      <w:pPr>
        <w:ind w:firstLine="2280" w:firstLineChars="950"/>
        <w:rPr>
          <w:rFonts w:ascii="宋体" w:hAnsi="宋体" w:cs="宋体"/>
        </w:rPr>
      </w:pPr>
      <w:r>
        <w:rPr>
          <w:rFonts w:hint="eastAsia" w:ascii="宋体" w:hAnsi="宋体" w:cs="宋体"/>
        </w:rPr>
        <w:t>（粘贴此处）</w:t>
      </w:r>
    </w:p>
    <w:p>
      <w:pPr>
        <w:ind w:firstLine="2289" w:firstLineChars="950"/>
        <w:rPr>
          <w:rFonts w:ascii="宋体" w:hAnsi="宋体" w:cs="宋体"/>
          <w:b/>
          <w:bCs/>
        </w:rPr>
      </w:pPr>
    </w:p>
    <w:p>
      <w:pPr>
        <w:rPr>
          <w:rFonts w:ascii="宋体" w:hAnsi="宋体" w:cs="宋体"/>
        </w:rPr>
      </w:pPr>
      <w:r>
        <w:rPr>
          <w:rFonts w:hint="eastAsia" w:ascii="宋体" w:hAnsi="宋体" w:cs="宋体"/>
          <w:b/>
          <w:bCs/>
        </w:rPr>
        <w:t>注: 如为被授权人参加竞磋时，须将身份证原件带至磋商现场备查。</w:t>
      </w:r>
    </w:p>
    <w:p>
      <w:pPr>
        <w:rPr>
          <w:rFonts w:ascii="宋体" w:hAnsi="宋体" w:eastAsia="宋体" w:cs="宋体"/>
          <w:b/>
          <w:szCs w:val="24"/>
        </w:rPr>
      </w:pPr>
      <w:r>
        <w:rPr>
          <w:rFonts w:hint="eastAsia" w:ascii="宋体" w:hAnsi="宋体" w:eastAsia="宋体" w:cs="宋体"/>
          <w:b/>
          <w:szCs w:val="24"/>
        </w:rPr>
        <w:br w:type="page"/>
      </w:r>
    </w:p>
    <w:p>
      <w:pPr>
        <w:outlineLvl w:val="1"/>
        <w:rPr>
          <w:rFonts w:ascii="宋体" w:hAnsi="宋体" w:eastAsia="宋体" w:cs="宋体"/>
          <w:szCs w:val="24"/>
        </w:rPr>
      </w:pPr>
      <w:bookmarkStart w:id="11" w:name="_Toc27325"/>
      <w:bookmarkStart w:id="12" w:name="_Toc24176"/>
      <w:bookmarkStart w:id="13" w:name="_Toc14366"/>
      <w:r>
        <w:rPr>
          <w:rFonts w:hint="eastAsia" w:ascii="宋体" w:hAnsi="宋体" w:eastAsia="宋体" w:cs="宋体"/>
          <w:b/>
          <w:szCs w:val="24"/>
        </w:rPr>
        <w:t>附件4：</w:t>
      </w:r>
      <w:r>
        <w:rPr>
          <w:rFonts w:hint="eastAsia" w:ascii="宋体" w:hAnsi="宋体" w:eastAsia="宋体" w:cs="宋体"/>
          <w:szCs w:val="24"/>
        </w:rPr>
        <w:t>具备履行合同所必需的设备和专业技术能力承诺书</w:t>
      </w:r>
      <w:bookmarkEnd w:id="11"/>
      <w:bookmarkEnd w:id="12"/>
      <w:bookmarkEnd w:id="13"/>
    </w:p>
    <w:p>
      <w:pPr>
        <w:ind w:firstLine="480"/>
        <w:rPr>
          <w:rFonts w:ascii="宋体" w:hAnsi="宋体" w:eastAsia="宋体" w:cs="宋体"/>
          <w:szCs w:val="24"/>
        </w:rPr>
      </w:pPr>
    </w:p>
    <w:p>
      <w:pPr>
        <w:ind w:firstLine="480"/>
        <w:rPr>
          <w:rFonts w:ascii="宋体" w:hAnsi="宋体" w:eastAsia="宋体" w:cs="宋体"/>
          <w:szCs w:val="24"/>
        </w:rPr>
      </w:pPr>
    </w:p>
    <w:p>
      <w:pPr>
        <w:rPr>
          <w:rFonts w:ascii="宋体" w:hAnsi="宋体" w:eastAsia="宋体" w:cs="宋体"/>
          <w:szCs w:val="24"/>
          <w:u w:val="single"/>
        </w:rPr>
      </w:pPr>
      <w:r>
        <w:rPr>
          <w:u w:val="single"/>
        </w:rPr>
        <w:t>南通市生态环境局</w:t>
      </w:r>
      <w:r>
        <w:rPr>
          <w:rFonts w:hint="eastAsia" w:ascii="宋体" w:hAnsi="宋体" w:eastAsia="宋体" w:cs="宋体"/>
          <w:szCs w:val="24"/>
          <w:u w:val="single"/>
        </w:rPr>
        <w:t xml:space="preserve">   ：</w:t>
      </w:r>
    </w:p>
    <w:p>
      <w:pPr>
        <w:ind w:firstLine="480"/>
        <w:rPr>
          <w:rFonts w:ascii="宋体" w:hAnsi="宋体" w:eastAsia="宋体" w:cs="宋体"/>
          <w:szCs w:val="24"/>
        </w:rPr>
      </w:pPr>
    </w:p>
    <w:p>
      <w:pPr>
        <w:ind w:firstLine="480"/>
        <w:rPr>
          <w:rFonts w:ascii="宋体" w:hAnsi="宋体" w:eastAsia="宋体" w:cs="宋体"/>
          <w:szCs w:val="24"/>
        </w:rPr>
      </w:pPr>
      <w:r>
        <w:rPr>
          <w:rFonts w:hint="eastAsia" w:ascii="宋体" w:hAnsi="宋体" w:eastAsia="宋体" w:cs="宋体"/>
          <w:szCs w:val="24"/>
        </w:rPr>
        <w:t>我公司承诺具备履行合同所必需的设备和专业技术能力。</w:t>
      </w:r>
    </w:p>
    <w:p>
      <w:pPr>
        <w:ind w:firstLine="480"/>
        <w:rPr>
          <w:rFonts w:ascii="宋体" w:hAnsi="宋体" w:eastAsia="宋体" w:cs="宋体"/>
          <w:b/>
          <w:szCs w:val="24"/>
        </w:rPr>
      </w:pPr>
    </w:p>
    <w:p>
      <w:pPr>
        <w:ind w:firstLine="480"/>
        <w:rPr>
          <w:rFonts w:ascii="宋体" w:hAnsi="宋体" w:eastAsia="宋体" w:cs="宋体"/>
          <w:b/>
          <w:szCs w:val="24"/>
        </w:rPr>
      </w:pPr>
    </w:p>
    <w:p>
      <w:pPr>
        <w:ind w:firstLine="480"/>
        <w:rPr>
          <w:rFonts w:ascii="宋体" w:hAnsi="宋体" w:eastAsia="宋体" w:cs="宋体"/>
          <w:b/>
          <w:szCs w:val="24"/>
        </w:rPr>
      </w:pPr>
    </w:p>
    <w:p>
      <w:pPr>
        <w:spacing w:before="120" w:after="120"/>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spacing w:before="120" w:after="120"/>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spacing w:before="120" w:after="120"/>
        <w:ind w:firstLine="480" w:firstLineChars="200"/>
        <w:rPr>
          <w:rFonts w:ascii="宋体" w:hAnsi="宋体" w:eastAsia="宋体" w:cs="宋体"/>
          <w:szCs w:val="24"/>
        </w:rPr>
      </w:pPr>
      <w:r>
        <w:rPr>
          <w:rFonts w:hint="eastAsia" w:ascii="宋体" w:hAnsi="宋体" w:eastAsia="宋体" w:cs="宋体"/>
          <w:szCs w:val="24"/>
        </w:rPr>
        <w:t>日    期：     年   月    日</w:t>
      </w:r>
    </w:p>
    <w:p>
      <w:pPr>
        <w:widowControl/>
        <w:jc w:val="left"/>
        <w:rPr>
          <w:rFonts w:ascii="宋体" w:hAnsi="宋体" w:eastAsia="宋体" w:cs="宋体"/>
          <w:b/>
          <w:szCs w:val="24"/>
        </w:rPr>
      </w:pPr>
    </w:p>
    <w:p>
      <w:pPr>
        <w:rPr>
          <w:rFonts w:ascii="宋体" w:hAnsi="宋体" w:eastAsia="宋体" w:cs="宋体"/>
          <w:b/>
          <w:szCs w:val="24"/>
        </w:rPr>
      </w:pPr>
      <w:bookmarkStart w:id="14" w:name="_Toc12562"/>
      <w:bookmarkStart w:id="15" w:name="_Toc4170"/>
      <w:bookmarkStart w:id="16" w:name="_Toc2139"/>
      <w:r>
        <w:rPr>
          <w:rFonts w:hint="eastAsia" w:ascii="宋体" w:hAnsi="宋体" w:eastAsia="宋体" w:cs="宋体"/>
          <w:b/>
          <w:szCs w:val="24"/>
        </w:rPr>
        <w:br w:type="page"/>
      </w:r>
    </w:p>
    <w:p>
      <w:pPr>
        <w:outlineLvl w:val="1"/>
        <w:rPr>
          <w:rFonts w:ascii="宋体" w:hAnsi="宋体" w:eastAsia="宋体" w:cs="宋体"/>
          <w:b/>
          <w:szCs w:val="24"/>
        </w:rPr>
      </w:pPr>
      <w:r>
        <w:rPr>
          <w:rFonts w:hint="eastAsia" w:ascii="宋体" w:hAnsi="宋体" w:eastAsia="宋体" w:cs="宋体"/>
          <w:b/>
          <w:szCs w:val="24"/>
        </w:rPr>
        <w:t>附件5：： 供应商参加政府采购活动前3年内在经营活动中没有重大违法记录的书面声明（格式）</w:t>
      </w:r>
      <w:bookmarkEnd w:id="14"/>
      <w:bookmarkEnd w:id="15"/>
      <w:bookmarkEnd w:id="16"/>
    </w:p>
    <w:p>
      <w:pPr>
        <w:jc w:val="center"/>
        <w:rPr>
          <w:rFonts w:ascii="宋体" w:hAnsi="宋体" w:eastAsia="宋体" w:cs="宋体"/>
          <w:szCs w:val="24"/>
        </w:rPr>
      </w:pPr>
    </w:p>
    <w:p>
      <w:pPr>
        <w:jc w:val="center"/>
        <w:rPr>
          <w:rFonts w:ascii="宋体" w:hAnsi="宋体" w:eastAsia="宋体" w:cs="宋体"/>
          <w:b/>
          <w:szCs w:val="24"/>
        </w:rPr>
      </w:pPr>
      <w:r>
        <w:rPr>
          <w:rFonts w:hint="eastAsia" w:ascii="宋体" w:hAnsi="宋体" w:eastAsia="宋体" w:cs="宋体"/>
          <w:b/>
          <w:szCs w:val="24"/>
        </w:rPr>
        <w:t>声明函</w:t>
      </w:r>
    </w:p>
    <w:p>
      <w:pPr>
        <w:jc w:val="center"/>
        <w:rPr>
          <w:rFonts w:ascii="宋体" w:hAnsi="宋体" w:eastAsia="宋体" w:cs="宋体"/>
          <w:szCs w:val="24"/>
        </w:rPr>
      </w:pPr>
    </w:p>
    <w:p>
      <w:pPr>
        <w:tabs>
          <w:tab w:val="left" w:pos="5580"/>
        </w:tabs>
        <w:spacing w:before="120"/>
        <w:rPr>
          <w:rFonts w:ascii="宋体" w:hAnsi="宋体" w:eastAsia="宋体" w:cs="宋体"/>
          <w:szCs w:val="24"/>
        </w:rPr>
      </w:pPr>
      <w:r>
        <w:rPr>
          <w:rFonts w:hint="eastAsia" w:ascii="宋体" w:hAnsi="宋体" w:eastAsia="宋体" w:cs="宋体"/>
          <w:szCs w:val="24"/>
        </w:rPr>
        <w:t>致：</w:t>
      </w:r>
      <w:r>
        <w:rPr>
          <w:u w:val="single"/>
        </w:rPr>
        <w:t>南通市生态环境局</w:t>
      </w:r>
    </w:p>
    <w:p>
      <w:pPr>
        <w:tabs>
          <w:tab w:val="left" w:pos="5580"/>
        </w:tabs>
        <w:spacing w:before="120"/>
        <w:ind w:firstLine="480" w:firstLineChars="200"/>
        <w:rPr>
          <w:rFonts w:ascii="宋体" w:hAnsi="宋体" w:eastAsia="宋体" w:cs="宋体"/>
          <w:szCs w:val="24"/>
        </w:rPr>
      </w:pPr>
    </w:p>
    <w:p>
      <w:pPr>
        <w:tabs>
          <w:tab w:val="left" w:pos="5580"/>
        </w:tabs>
        <w:spacing w:before="120"/>
        <w:ind w:firstLine="480" w:firstLineChars="200"/>
        <w:rPr>
          <w:rFonts w:ascii="宋体" w:hAnsi="宋体" w:eastAsia="宋体" w:cs="宋体"/>
          <w:szCs w:val="24"/>
        </w:rPr>
      </w:pPr>
      <w:r>
        <w:rPr>
          <w:rFonts w:hint="eastAsia" w:ascii="宋体" w:hAnsi="宋体" w:eastAsia="宋体" w:cs="宋体"/>
          <w:szCs w:val="24"/>
        </w:rPr>
        <w:t>在本项目响应文件截止时间前，我公司郑重承诺在参加本项目政府采购活动前三年内，在经营活动中无重大违法记录。公司未受到刑事处罚或责令停业、吊销许可证（或执照）、较大数额罚款等行政处罚；未处于财产被接管、冻结、破产状况。</w:t>
      </w:r>
    </w:p>
    <w:p>
      <w:pPr>
        <w:tabs>
          <w:tab w:val="left" w:pos="5580"/>
        </w:tabs>
        <w:spacing w:before="120"/>
        <w:ind w:firstLine="480" w:firstLineChars="200"/>
        <w:rPr>
          <w:rFonts w:ascii="宋体" w:hAnsi="宋体" w:eastAsia="宋体" w:cs="宋体"/>
          <w:szCs w:val="24"/>
        </w:rPr>
      </w:pPr>
      <w:r>
        <w:rPr>
          <w:rFonts w:hint="eastAsia" w:ascii="宋体" w:hAnsi="宋体" w:eastAsia="宋体" w:cs="宋体"/>
          <w:szCs w:val="24"/>
        </w:rPr>
        <w:t>如发现我单位提供的声明函不实时，我单位将按照《政府采购法》有关提供虚假材料的规定，接受处罚。</w:t>
      </w:r>
    </w:p>
    <w:p>
      <w:pPr>
        <w:tabs>
          <w:tab w:val="left" w:pos="5580"/>
        </w:tabs>
        <w:spacing w:before="120"/>
        <w:ind w:firstLine="480" w:firstLineChars="200"/>
        <w:rPr>
          <w:rFonts w:ascii="宋体" w:hAnsi="宋体" w:eastAsia="宋体" w:cs="宋体"/>
          <w:szCs w:val="24"/>
        </w:rPr>
      </w:pPr>
      <w:r>
        <w:rPr>
          <w:rFonts w:hint="eastAsia" w:ascii="宋体" w:hAnsi="宋体" w:eastAsia="宋体" w:cs="宋体"/>
          <w:szCs w:val="24"/>
        </w:rPr>
        <w:t>特此声明。</w:t>
      </w:r>
    </w:p>
    <w:p>
      <w:pPr>
        <w:tabs>
          <w:tab w:val="left" w:pos="5580"/>
        </w:tabs>
        <w:spacing w:before="120"/>
        <w:ind w:firstLine="480" w:firstLineChars="200"/>
        <w:rPr>
          <w:rFonts w:ascii="宋体" w:hAnsi="宋体" w:eastAsia="宋体" w:cs="宋体"/>
          <w:szCs w:val="24"/>
        </w:rPr>
      </w:pPr>
    </w:p>
    <w:p>
      <w:pPr>
        <w:tabs>
          <w:tab w:val="left" w:pos="5580"/>
        </w:tabs>
        <w:spacing w:before="120"/>
        <w:ind w:firstLine="480" w:firstLineChars="200"/>
        <w:rPr>
          <w:rFonts w:ascii="宋体" w:hAnsi="宋体" w:eastAsia="宋体" w:cs="宋体"/>
          <w:szCs w:val="24"/>
        </w:rPr>
      </w:pPr>
    </w:p>
    <w:p>
      <w:pPr>
        <w:spacing w:before="120" w:after="120"/>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spacing w:before="120" w:after="120"/>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spacing w:before="120" w:after="120"/>
        <w:ind w:firstLine="480" w:firstLineChars="200"/>
        <w:rPr>
          <w:rFonts w:ascii="宋体" w:hAnsi="宋体" w:eastAsia="宋体" w:cs="宋体"/>
          <w:szCs w:val="24"/>
        </w:rPr>
      </w:pPr>
      <w:r>
        <w:rPr>
          <w:rFonts w:hint="eastAsia" w:ascii="宋体" w:hAnsi="宋体" w:eastAsia="宋体" w:cs="宋体"/>
          <w:szCs w:val="24"/>
        </w:rPr>
        <w:t>日    期：     年   月    日</w:t>
      </w:r>
    </w:p>
    <w:p>
      <w:pPr>
        <w:rPr>
          <w:rFonts w:ascii="宋体" w:hAnsi="宋体" w:eastAsia="宋体" w:cs="宋体"/>
          <w:szCs w:val="24"/>
        </w:rPr>
        <w:sectPr>
          <w:headerReference r:id="rId5" w:type="default"/>
          <w:footerReference r:id="rId6" w:type="default"/>
          <w:pgSz w:w="11906" w:h="16838"/>
          <w:pgMar w:top="1191" w:right="1247" w:bottom="1247" w:left="1701" w:header="851" w:footer="992" w:gutter="0"/>
          <w:cols w:space="720" w:num="1"/>
          <w:docGrid w:linePitch="312" w:charSpace="0"/>
        </w:sectPr>
      </w:pPr>
      <w:r>
        <w:rPr>
          <w:rFonts w:hint="eastAsia" w:ascii="宋体" w:hAnsi="宋体" w:eastAsia="宋体" w:cs="宋体"/>
          <w:szCs w:val="24"/>
          <w:u w:val="single"/>
        </w:rPr>
        <w:br w:type="page"/>
      </w:r>
    </w:p>
    <w:p>
      <w:pPr>
        <w:widowControl/>
        <w:outlineLvl w:val="1"/>
        <w:rPr>
          <w:rFonts w:ascii="宋体" w:hAnsi="宋体" w:eastAsia="宋体" w:cs="宋体"/>
          <w:b/>
          <w:bCs/>
          <w:szCs w:val="24"/>
        </w:rPr>
      </w:pPr>
      <w:bookmarkStart w:id="17" w:name="_Toc21479"/>
      <w:bookmarkStart w:id="18" w:name="_Toc32222"/>
      <w:r>
        <w:rPr>
          <w:rFonts w:hint="eastAsia" w:ascii="宋体" w:hAnsi="宋体" w:eastAsia="宋体" w:cs="宋体"/>
          <w:b/>
          <w:bCs/>
          <w:szCs w:val="24"/>
        </w:rPr>
        <w:t>附件6:  承诺书</w:t>
      </w:r>
      <w:bookmarkEnd w:id="17"/>
      <w:bookmarkEnd w:id="18"/>
    </w:p>
    <w:p>
      <w:pPr>
        <w:rPr>
          <w:rFonts w:ascii="宋体" w:hAnsi="宋体" w:eastAsia="宋体" w:cs="宋体"/>
          <w:szCs w:val="24"/>
        </w:rPr>
      </w:pPr>
    </w:p>
    <w:p>
      <w:pPr>
        <w:jc w:val="center"/>
        <w:rPr>
          <w:rFonts w:ascii="宋体" w:hAnsi="宋体" w:eastAsia="宋体" w:cs="宋体"/>
          <w:szCs w:val="24"/>
        </w:rPr>
      </w:pPr>
      <w:r>
        <w:rPr>
          <w:rFonts w:hint="eastAsia" w:ascii="宋体" w:hAnsi="宋体" w:eastAsia="宋体" w:cs="宋体"/>
          <w:szCs w:val="24"/>
        </w:rPr>
        <w:t>承诺书</w:t>
      </w:r>
    </w:p>
    <w:p>
      <w:pPr>
        <w:rPr>
          <w:rFonts w:ascii="宋体" w:hAnsi="宋体" w:eastAsia="宋体" w:cs="宋体"/>
          <w:szCs w:val="24"/>
        </w:rPr>
      </w:pPr>
      <w:r>
        <w:t>南通市生态环境局</w:t>
      </w: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我方在此声明，我方以下事项进行承诺：</w:t>
      </w:r>
    </w:p>
    <w:p>
      <w:pPr>
        <w:ind w:firstLine="480" w:firstLineChars="200"/>
        <w:rPr>
          <w:rFonts w:ascii="宋体" w:hAnsi="宋体" w:eastAsia="宋体" w:cs="宋体"/>
          <w:szCs w:val="24"/>
        </w:rPr>
      </w:pPr>
      <w:r>
        <w:rPr>
          <w:rFonts w:hint="eastAsia" w:ascii="宋体" w:hAnsi="宋体" w:eastAsia="宋体" w:cs="宋体"/>
          <w:szCs w:val="24"/>
        </w:rPr>
        <w:t>（1）在本次投标中我公司无与其他供应商相互串通投标，或与采购人串通投标的行为；</w:t>
      </w:r>
    </w:p>
    <w:p>
      <w:pPr>
        <w:ind w:firstLine="480" w:firstLineChars="200"/>
        <w:rPr>
          <w:rFonts w:ascii="宋体" w:hAnsi="宋体" w:eastAsia="宋体" w:cs="宋体"/>
          <w:szCs w:val="24"/>
        </w:rPr>
      </w:pPr>
      <w:r>
        <w:rPr>
          <w:rFonts w:hint="eastAsia" w:ascii="宋体" w:hAnsi="宋体" w:eastAsia="宋体" w:cs="宋体"/>
          <w:szCs w:val="24"/>
        </w:rPr>
        <w:t>（2）在本次投标中我公司无向采购人或评标委员会成员行贿的手段谋取中标的行为；</w:t>
      </w:r>
    </w:p>
    <w:p>
      <w:pPr>
        <w:ind w:firstLine="480" w:firstLineChars="200"/>
        <w:rPr>
          <w:rFonts w:ascii="宋体" w:hAnsi="宋体" w:eastAsia="宋体" w:cs="宋体"/>
          <w:szCs w:val="24"/>
        </w:rPr>
      </w:pPr>
      <w:r>
        <w:rPr>
          <w:rFonts w:hint="eastAsia" w:ascii="宋体" w:hAnsi="宋体" w:eastAsia="宋体" w:cs="宋体"/>
          <w:szCs w:val="24"/>
        </w:rPr>
        <w:t>（3）在本次投标中我公司无出借或借用资质行为、在响应文件中所附资料（业绩、项目负责人资料等）无弄虚作假；</w:t>
      </w:r>
    </w:p>
    <w:p>
      <w:pPr>
        <w:ind w:firstLine="480" w:firstLineChars="200"/>
        <w:rPr>
          <w:rFonts w:ascii="宋体" w:hAnsi="宋体" w:eastAsia="宋体" w:cs="宋体"/>
          <w:szCs w:val="24"/>
        </w:rPr>
      </w:pPr>
      <w:r>
        <w:rPr>
          <w:rFonts w:hint="eastAsia" w:ascii="宋体" w:hAnsi="宋体" w:eastAsia="宋体" w:cs="宋体"/>
          <w:szCs w:val="24"/>
        </w:rPr>
        <w:t>（4）我公司没有处于被责令停产、停业、投标资格被取消状态；</w:t>
      </w:r>
    </w:p>
    <w:p>
      <w:pPr>
        <w:ind w:firstLine="480" w:firstLineChars="200"/>
        <w:rPr>
          <w:rFonts w:ascii="宋体" w:hAnsi="宋体" w:eastAsia="宋体" w:cs="宋体"/>
          <w:szCs w:val="24"/>
        </w:rPr>
      </w:pPr>
      <w:r>
        <w:rPr>
          <w:rFonts w:hint="eastAsia" w:ascii="宋体" w:hAnsi="宋体" w:eastAsia="宋体" w:cs="宋体"/>
          <w:szCs w:val="24"/>
        </w:rPr>
        <w:t>（5）我公司不采用非法手段获取证据进行质疑、投诉，在质疑、投诉过程中不提供虚假情况或进行恶意质疑、投诉。</w:t>
      </w:r>
    </w:p>
    <w:p>
      <w:pPr>
        <w:ind w:firstLine="480" w:firstLineChars="200"/>
        <w:rPr>
          <w:rFonts w:ascii="宋体" w:hAnsi="宋体" w:eastAsia="宋体" w:cs="宋体"/>
          <w:szCs w:val="24"/>
        </w:rPr>
      </w:pPr>
      <w:r>
        <w:rPr>
          <w:rFonts w:hint="eastAsia" w:ascii="宋体" w:hAnsi="宋体" w:eastAsia="宋体" w:cs="宋体"/>
          <w:szCs w:val="24"/>
        </w:rPr>
        <w:t>上述承诺内容如有不实，我公司愿意承担由此造成的一切法律责任，并承诺以投标保证金赔偿给采购人造成的损失。</w:t>
      </w:r>
    </w:p>
    <w:p>
      <w:pPr>
        <w:ind w:firstLine="480" w:firstLineChars="200"/>
        <w:rPr>
          <w:rFonts w:ascii="宋体" w:hAnsi="宋体" w:eastAsia="宋体" w:cs="宋体"/>
          <w:szCs w:val="24"/>
        </w:rPr>
      </w:pPr>
      <w:r>
        <w:rPr>
          <w:rFonts w:hint="eastAsia" w:ascii="宋体" w:hAnsi="宋体" w:eastAsia="宋体" w:cs="宋体"/>
          <w:szCs w:val="24"/>
        </w:rPr>
        <w:t>特此承诺</w:t>
      </w:r>
    </w:p>
    <w:p>
      <w:pPr>
        <w:ind w:firstLine="480" w:firstLineChars="200"/>
        <w:rPr>
          <w:rFonts w:ascii="宋体" w:hAnsi="宋体" w:eastAsia="宋体" w:cs="宋体"/>
          <w:szCs w:val="24"/>
        </w:rPr>
      </w:pPr>
    </w:p>
    <w:p>
      <w:pPr>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ind w:firstLine="480" w:firstLineChars="200"/>
        <w:rPr>
          <w:rFonts w:ascii="宋体" w:hAnsi="宋体" w:eastAsia="宋体" w:cs="宋体"/>
          <w:szCs w:val="24"/>
        </w:rPr>
      </w:pPr>
      <w:r>
        <w:rPr>
          <w:rFonts w:hint="eastAsia" w:ascii="宋体" w:hAnsi="宋体" w:eastAsia="宋体" w:cs="宋体"/>
          <w:szCs w:val="24"/>
        </w:rPr>
        <w:t>日    期：     年   月    日</w:t>
      </w:r>
    </w:p>
    <w:p>
      <w:pPr>
        <w:widowControl/>
        <w:rPr>
          <w:rFonts w:ascii="宋体" w:hAnsi="宋体" w:eastAsia="宋体" w:cs="宋体"/>
          <w:szCs w:val="24"/>
        </w:rPr>
      </w:pPr>
    </w:p>
    <w:p>
      <w:pPr>
        <w:pStyle w:val="38"/>
        <w:snapToGrid w:val="0"/>
        <w:spacing w:beforeLines="50"/>
        <w:rPr>
          <w:rFonts w:hAnsi="宋体" w:eastAsia="宋体" w:cs="宋体"/>
          <w:sz w:val="24"/>
          <w:szCs w:val="24"/>
        </w:rPr>
      </w:pPr>
    </w:p>
    <w:p>
      <w:pPr>
        <w:widowControl/>
        <w:rPr>
          <w:rFonts w:ascii="宋体" w:hAnsi="宋体" w:eastAsia="宋体" w:cs="宋体"/>
          <w:szCs w:val="24"/>
        </w:rPr>
      </w:pPr>
    </w:p>
    <w:p>
      <w:pPr>
        <w:rPr>
          <w:rFonts w:ascii="宋体" w:hAnsi="宋体" w:eastAsia="宋体" w:cs="宋体"/>
          <w:szCs w:val="24"/>
        </w:rPr>
      </w:pPr>
    </w:p>
    <w:p>
      <w:pPr>
        <w:rPr>
          <w:b/>
        </w:rPr>
      </w:pPr>
      <w:r>
        <w:rPr>
          <w:b/>
        </w:rPr>
        <w:br w:type="page"/>
      </w:r>
    </w:p>
    <w:p>
      <w:pPr>
        <w:widowControl/>
        <w:outlineLvl w:val="1"/>
        <w:rPr>
          <w:rFonts w:ascii="宋体" w:hAnsi="宋体" w:eastAsia="宋体" w:cs="宋体"/>
          <w:b/>
          <w:bCs/>
          <w:szCs w:val="24"/>
        </w:rPr>
      </w:pPr>
      <w:r>
        <w:rPr>
          <w:rFonts w:hint="eastAsia" w:ascii="宋体" w:hAnsi="宋体" w:eastAsia="宋体" w:cs="宋体"/>
          <w:b/>
          <w:bCs/>
          <w:szCs w:val="24"/>
        </w:rPr>
        <w:t>附件7:</w:t>
      </w:r>
      <w:r>
        <w:rPr>
          <w:b/>
          <w:bCs/>
        </w:rPr>
        <w:t>竞争性磋商响应函</w:t>
      </w:r>
    </w:p>
    <w:p>
      <w:pPr>
        <w:snapToGrid w:val="0"/>
        <w:spacing w:line="520" w:lineRule="exact"/>
        <w:ind w:firstLine="482" w:firstLineChars="200"/>
        <w:jc w:val="center"/>
        <w:rPr>
          <w:b/>
        </w:rPr>
      </w:pPr>
    </w:p>
    <w:p>
      <w:pPr>
        <w:snapToGrid w:val="0"/>
        <w:spacing w:line="520" w:lineRule="exact"/>
        <w:ind w:firstLine="482" w:firstLineChars="200"/>
        <w:jc w:val="center"/>
        <w:rPr>
          <w:b/>
          <w:bCs/>
        </w:rPr>
      </w:pPr>
      <w:r>
        <w:rPr>
          <w:b/>
          <w:bCs/>
        </w:rPr>
        <w:t>竞争性磋商响应函</w:t>
      </w:r>
    </w:p>
    <w:p>
      <w:pPr>
        <w:snapToGrid w:val="0"/>
        <w:spacing w:line="520" w:lineRule="exact"/>
        <w:rPr>
          <w:u w:val="single"/>
        </w:rPr>
      </w:pPr>
      <w:r>
        <w:rPr>
          <w:u w:val="single"/>
        </w:rPr>
        <w:t>南通市生态环境局：</w:t>
      </w:r>
    </w:p>
    <w:p>
      <w:pPr>
        <w:snapToGrid w:val="0"/>
        <w:ind w:firstLine="480" w:firstLineChars="200"/>
      </w:pPr>
      <w:r>
        <w:t>依据贵单位委托代理机构组织的（磋商项目名称</w:t>
      </w:r>
      <w:r>
        <w:rPr>
          <w:rFonts w:hint="eastAsia"/>
        </w:rPr>
        <w:t>）</w:t>
      </w:r>
      <w:r>
        <w:t>项目竞争性磋商的邀请，我方授权（姓名）（职务）为全权代表参加该项目的磋商工作，全权处理本次竞争性磋商的有关事宜。同时，我公司声明如下：</w:t>
      </w:r>
    </w:p>
    <w:p>
      <w:pPr>
        <w:snapToGrid w:val="0"/>
        <w:ind w:firstLine="480" w:firstLineChars="200"/>
      </w:pPr>
      <w:r>
        <w:t>1、同意并接受竞争性磋商文件的各项要求，遵守竞争性磋商文件中的各项规定，按竞争性磋商文件的要求提供报价。</w:t>
      </w:r>
    </w:p>
    <w:p>
      <w:pPr>
        <w:snapToGrid w:val="0"/>
        <w:ind w:firstLine="480" w:firstLineChars="200"/>
      </w:pPr>
      <w: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ind w:firstLine="480" w:firstLineChars="200"/>
      </w:pPr>
      <w:r>
        <w:t>3、我公司已毫无保留地向贵方提供一切所需的证明材料。</w:t>
      </w:r>
    </w:p>
    <w:p>
      <w:pPr>
        <w:snapToGrid w:val="0"/>
        <w:ind w:firstLine="480" w:firstLineChars="200"/>
      </w:pPr>
      <w:r>
        <w:t>4、我公司承诺在本次磋商响应中提供的一切文件，无论是原件还是复印件均真实有效，绝无任何虚假、伪造和夸大的成份。否则，愿承担相应的后果和法律责任。</w:t>
      </w:r>
    </w:p>
    <w:p>
      <w:pPr>
        <w:snapToGrid w:val="0"/>
        <w:ind w:firstLine="480" w:firstLineChars="200"/>
        <w:rPr>
          <w:b/>
        </w:rPr>
      </w:pPr>
      <w:r>
        <w:t>5、</w:t>
      </w:r>
      <w:r>
        <w:rPr>
          <w:b/>
        </w:rPr>
        <w:t>我公司尊重磋商小组所作的评定结果，同时清楚理解到报价最低并非意味着必定获得成交资格。</w:t>
      </w:r>
    </w:p>
    <w:p>
      <w:pPr>
        <w:snapToGrid w:val="0"/>
        <w:ind w:firstLine="480" w:firstLineChars="200"/>
      </w:pPr>
      <w:r>
        <w:t>6、一旦成交，我方承诺无正当理由拒绝签订合同，将被贵方取消成交资格，同意向贵方支付成交金额的2%作为违约金。</w:t>
      </w:r>
    </w:p>
    <w:p>
      <w:pPr>
        <w:snapToGrid w:val="0"/>
        <w:ind w:firstLine="480" w:firstLineChars="200"/>
      </w:pPr>
      <w:r>
        <w:t>7、一旦成交，我方将根据竞争性磋商文件的规定，严格履行合同规定的责任和义务。否则，我方同意无条件接受贵单位终止合同的要求。</w:t>
      </w:r>
    </w:p>
    <w:p>
      <w:pPr>
        <w:pStyle w:val="2"/>
        <w:ind w:left="480" w:firstLine="480"/>
      </w:pPr>
    </w:p>
    <w:p>
      <w:pPr>
        <w:spacing w:before="120" w:after="120"/>
        <w:ind w:firstLine="480" w:firstLineChars="200"/>
        <w:rPr>
          <w:rFonts w:ascii="宋体" w:hAnsi="宋体" w:eastAsia="宋体" w:cs="宋体"/>
          <w:szCs w:val="24"/>
        </w:rPr>
      </w:pPr>
      <w:r>
        <w:rPr>
          <w:rFonts w:hint="eastAsia" w:ascii="宋体" w:hAnsi="宋体" w:eastAsia="宋体" w:cs="宋体"/>
          <w:szCs w:val="24"/>
        </w:rPr>
        <w:t xml:space="preserve">供应商名称（公章）： </w:t>
      </w:r>
    </w:p>
    <w:p>
      <w:pPr>
        <w:spacing w:before="120" w:after="120"/>
        <w:ind w:firstLine="480" w:firstLineChars="200"/>
        <w:rPr>
          <w:rFonts w:ascii="宋体" w:hAnsi="宋体" w:eastAsia="宋体" w:cs="宋体"/>
          <w:szCs w:val="24"/>
        </w:rPr>
      </w:pPr>
      <w:r>
        <w:rPr>
          <w:rFonts w:hint="eastAsia" w:ascii="宋体" w:hAnsi="宋体" w:eastAsia="宋体" w:cs="宋体"/>
          <w:szCs w:val="24"/>
        </w:rPr>
        <w:t>法定代表人或其委托代理人（签字或加盖人名章）：</w:t>
      </w:r>
    </w:p>
    <w:p>
      <w:pPr>
        <w:spacing w:before="120" w:after="120"/>
        <w:ind w:firstLine="480" w:firstLineChars="200"/>
        <w:rPr>
          <w:rFonts w:ascii="宋体" w:hAnsi="宋体" w:eastAsia="宋体" w:cs="宋体"/>
          <w:szCs w:val="24"/>
        </w:rPr>
      </w:pPr>
      <w:r>
        <w:rPr>
          <w:rFonts w:hint="eastAsia" w:ascii="宋体" w:hAnsi="宋体" w:eastAsia="宋体" w:cs="宋体"/>
          <w:szCs w:val="24"/>
        </w:rPr>
        <w:t>日    期：     年   月    日</w:t>
      </w:r>
    </w:p>
    <w:p>
      <w:pPr>
        <w:pStyle w:val="36"/>
        <w:snapToGrid w:val="0"/>
        <w:spacing w:line="300" w:lineRule="auto"/>
        <w:ind w:firstLine="0" w:firstLineChars="0"/>
        <w:contextualSpacing/>
        <w:rPr>
          <w:rFonts w:ascii="Times New Roman" w:hAnsi="Times New Roman"/>
          <w:b/>
          <w:color w:val="000000"/>
          <w:sz w:val="36"/>
          <w:szCs w:val="36"/>
        </w:rPr>
      </w:pPr>
    </w:p>
    <w:p>
      <w:pPr>
        <w:rPr>
          <w:rFonts w:ascii="宋体" w:hAnsi="宋体" w:eastAsia="宋体" w:cs="宋体"/>
          <w:b/>
          <w:szCs w:val="24"/>
        </w:rPr>
      </w:pPr>
      <w:r>
        <w:rPr>
          <w:rFonts w:hint="eastAsia" w:ascii="宋体" w:hAnsi="宋体" w:eastAsia="宋体" w:cs="宋体"/>
          <w:b/>
          <w:szCs w:val="24"/>
        </w:rPr>
        <w:br w:type="page"/>
      </w:r>
    </w:p>
    <w:p>
      <w:pPr>
        <w:widowControl/>
        <w:jc w:val="left"/>
        <w:outlineLvl w:val="1"/>
        <w:rPr>
          <w:rFonts w:ascii="宋体" w:hAnsi="宋体" w:eastAsia="宋体" w:cs="宋体"/>
          <w:b/>
          <w:szCs w:val="24"/>
        </w:rPr>
      </w:pPr>
      <w:r>
        <w:rPr>
          <w:rFonts w:hint="eastAsia" w:ascii="宋体" w:hAnsi="宋体" w:eastAsia="宋体" w:cs="宋体"/>
          <w:b/>
          <w:szCs w:val="24"/>
        </w:rPr>
        <w:t>附件8:供应商情况一览表</w:t>
      </w:r>
    </w:p>
    <w:p>
      <w:pPr>
        <w:jc w:val="center"/>
        <w:rPr>
          <w:rFonts w:ascii="宋体" w:hAnsi="宋体" w:eastAsia="宋体" w:cs="宋体"/>
          <w:b/>
          <w:szCs w:val="24"/>
        </w:rPr>
      </w:pPr>
      <w:r>
        <w:rPr>
          <w:rFonts w:hint="eastAsia" w:ascii="宋体" w:hAnsi="宋体" w:eastAsia="宋体" w:cs="宋体"/>
          <w:b/>
          <w:szCs w:val="24"/>
        </w:rPr>
        <w:t>情况一览表</w:t>
      </w:r>
    </w:p>
    <w:tbl>
      <w:tblPr>
        <w:tblStyle w:val="16"/>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851"/>
        <w:gridCol w:w="708"/>
        <w:gridCol w:w="1561"/>
        <w:gridCol w:w="1135"/>
        <w:gridCol w:w="851"/>
        <w:gridCol w:w="141"/>
        <w:gridCol w:w="271"/>
        <w:gridCol w:w="1002"/>
        <w:gridCol w:w="271"/>
        <w:gridCol w:w="11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6" w:type="dxa"/>
            <w:gridSpan w:val="2"/>
            <w:vAlign w:val="center"/>
          </w:tcPr>
          <w:p>
            <w:pPr>
              <w:rPr>
                <w:rFonts w:ascii="宋体" w:hAnsi="宋体" w:eastAsia="宋体" w:cs="宋体"/>
                <w:szCs w:val="24"/>
              </w:rPr>
            </w:pPr>
            <w:r>
              <w:rPr>
                <w:rFonts w:hint="eastAsia" w:ascii="宋体" w:hAnsi="宋体" w:eastAsia="宋体" w:cs="宋体"/>
                <w:szCs w:val="24"/>
              </w:rPr>
              <w:t>单位名称</w:t>
            </w:r>
          </w:p>
        </w:tc>
        <w:tc>
          <w:tcPr>
            <w:tcW w:w="7941" w:type="dxa"/>
            <w:gridSpan w:val="10"/>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4" w:type="dxa"/>
            <w:gridSpan w:val="3"/>
            <w:vAlign w:val="center"/>
          </w:tcPr>
          <w:p>
            <w:pPr>
              <w:rPr>
                <w:rFonts w:ascii="宋体" w:hAnsi="宋体" w:eastAsia="宋体" w:cs="宋体"/>
                <w:szCs w:val="24"/>
              </w:rPr>
            </w:pPr>
            <w:r>
              <w:rPr>
                <w:rFonts w:hint="eastAsia" w:ascii="宋体" w:hAnsi="宋体" w:eastAsia="宋体" w:cs="宋体"/>
                <w:szCs w:val="24"/>
              </w:rPr>
              <w:t>单位优势及特长</w:t>
            </w:r>
          </w:p>
        </w:tc>
        <w:tc>
          <w:tcPr>
            <w:tcW w:w="7233" w:type="dxa"/>
            <w:gridSpan w:val="9"/>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rPr>
                <w:rFonts w:ascii="宋体" w:hAnsi="宋体" w:eastAsia="宋体" w:cs="宋体"/>
                <w:szCs w:val="24"/>
              </w:rPr>
            </w:pPr>
            <w:r>
              <w:rPr>
                <w:rFonts w:hint="eastAsia" w:ascii="宋体" w:hAnsi="宋体" w:eastAsia="宋体" w:cs="宋体"/>
                <w:szCs w:val="24"/>
              </w:rPr>
              <w:t>单位</w:t>
            </w:r>
          </w:p>
          <w:p>
            <w:pPr>
              <w:rPr>
                <w:rFonts w:ascii="宋体" w:hAnsi="宋体" w:eastAsia="宋体" w:cs="宋体"/>
                <w:szCs w:val="24"/>
              </w:rPr>
            </w:pPr>
            <w:r>
              <w:rPr>
                <w:rFonts w:hint="eastAsia" w:ascii="宋体" w:hAnsi="宋体" w:eastAsia="宋体" w:cs="宋体"/>
                <w:szCs w:val="24"/>
              </w:rPr>
              <w:t>概况</w:t>
            </w:r>
          </w:p>
        </w:tc>
        <w:tc>
          <w:tcPr>
            <w:tcW w:w="1559" w:type="dxa"/>
            <w:gridSpan w:val="2"/>
            <w:vAlign w:val="center"/>
          </w:tcPr>
          <w:p>
            <w:pPr>
              <w:rPr>
                <w:rFonts w:ascii="宋体" w:hAnsi="宋体" w:eastAsia="宋体" w:cs="宋体"/>
                <w:szCs w:val="24"/>
              </w:rPr>
            </w:pPr>
            <w:r>
              <w:rPr>
                <w:rFonts w:hint="eastAsia" w:ascii="宋体" w:hAnsi="宋体" w:eastAsia="宋体" w:cs="宋体"/>
                <w:szCs w:val="24"/>
              </w:rPr>
              <w:t>职工总数</w:t>
            </w:r>
          </w:p>
        </w:tc>
        <w:tc>
          <w:tcPr>
            <w:tcW w:w="1561" w:type="dxa"/>
            <w:vAlign w:val="center"/>
          </w:tcPr>
          <w:p>
            <w:pPr>
              <w:rPr>
                <w:rFonts w:ascii="宋体" w:hAnsi="宋体" w:eastAsia="宋体" w:cs="宋体"/>
                <w:szCs w:val="24"/>
              </w:rPr>
            </w:pPr>
            <w:r>
              <w:rPr>
                <w:rFonts w:hint="eastAsia" w:ascii="宋体" w:hAnsi="宋体" w:eastAsia="宋体" w:cs="宋体"/>
                <w:szCs w:val="24"/>
              </w:rPr>
              <w:t>人</w:t>
            </w:r>
          </w:p>
        </w:tc>
        <w:tc>
          <w:tcPr>
            <w:tcW w:w="1135" w:type="dxa"/>
            <w:vMerge w:val="restart"/>
            <w:vAlign w:val="center"/>
          </w:tcPr>
          <w:p>
            <w:pPr>
              <w:rPr>
                <w:rFonts w:ascii="宋体" w:hAnsi="宋体" w:eastAsia="宋体" w:cs="宋体"/>
                <w:szCs w:val="24"/>
              </w:rPr>
            </w:pPr>
            <w:r>
              <w:rPr>
                <w:rFonts w:hint="eastAsia" w:ascii="宋体" w:hAnsi="宋体" w:eastAsia="宋体" w:cs="宋体"/>
                <w:szCs w:val="24"/>
              </w:rPr>
              <w:t>上一年主要经济指标</w:t>
            </w:r>
          </w:p>
        </w:tc>
        <w:tc>
          <w:tcPr>
            <w:tcW w:w="992" w:type="dxa"/>
            <w:gridSpan w:val="2"/>
            <w:vAlign w:val="center"/>
          </w:tcPr>
          <w:p>
            <w:pPr>
              <w:rPr>
                <w:rFonts w:ascii="宋体" w:hAnsi="宋体" w:eastAsia="宋体" w:cs="宋体"/>
                <w:szCs w:val="24"/>
              </w:rPr>
            </w:pPr>
            <w:r>
              <w:rPr>
                <w:rFonts w:hint="eastAsia" w:ascii="宋体" w:hAnsi="宋体" w:eastAsia="宋体" w:cs="宋体"/>
                <w:szCs w:val="24"/>
              </w:rPr>
              <w:t>营业额</w:t>
            </w:r>
          </w:p>
        </w:tc>
        <w:tc>
          <w:tcPr>
            <w:tcW w:w="1273" w:type="dxa"/>
            <w:gridSpan w:val="2"/>
            <w:vAlign w:val="center"/>
          </w:tcPr>
          <w:p>
            <w:pPr>
              <w:rPr>
                <w:rFonts w:ascii="宋体" w:hAnsi="宋体" w:eastAsia="宋体" w:cs="宋体"/>
                <w:szCs w:val="24"/>
              </w:rPr>
            </w:pPr>
          </w:p>
        </w:tc>
        <w:tc>
          <w:tcPr>
            <w:tcW w:w="1421" w:type="dxa"/>
            <w:gridSpan w:val="2"/>
            <w:vAlign w:val="center"/>
          </w:tcPr>
          <w:p>
            <w:pPr>
              <w:rPr>
                <w:rFonts w:ascii="宋体" w:hAnsi="宋体" w:eastAsia="宋体" w:cs="宋体"/>
                <w:szCs w:val="24"/>
              </w:rPr>
            </w:pPr>
            <w:r>
              <w:rPr>
                <w:rFonts w:hint="eastAsia" w:ascii="宋体" w:hAnsi="宋体" w:eastAsia="宋体" w:cs="宋体"/>
                <w:szCs w:val="24"/>
              </w:rPr>
              <w:t>实现利润</w:t>
            </w:r>
          </w:p>
        </w:tc>
        <w:tc>
          <w:tcPr>
            <w:tcW w:w="851" w:type="dxa"/>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r>
              <w:rPr>
                <w:rFonts w:hint="eastAsia" w:ascii="宋体" w:hAnsi="宋体" w:eastAsia="宋体" w:cs="宋体"/>
                <w:szCs w:val="24"/>
              </w:rPr>
              <w:t>流动资金</w:t>
            </w:r>
          </w:p>
        </w:tc>
        <w:tc>
          <w:tcPr>
            <w:tcW w:w="1561" w:type="dxa"/>
            <w:vAlign w:val="center"/>
          </w:tcPr>
          <w:p>
            <w:pPr>
              <w:rPr>
                <w:rFonts w:ascii="宋体" w:hAnsi="宋体" w:eastAsia="宋体" w:cs="宋体"/>
                <w:szCs w:val="24"/>
              </w:rPr>
            </w:pPr>
            <w:r>
              <w:rPr>
                <w:rFonts w:hint="eastAsia" w:ascii="宋体" w:hAnsi="宋体" w:eastAsia="宋体" w:cs="宋体"/>
                <w:szCs w:val="24"/>
              </w:rPr>
              <w:t>万元</w:t>
            </w:r>
          </w:p>
        </w:tc>
        <w:tc>
          <w:tcPr>
            <w:tcW w:w="1135" w:type="dxa"/>
            <w:vMerge w:val="continue"/>
            <w:vAlign w:val="center"/>
          </w:tcPr>
          <w:p>
            <w:pPr>
              <w:rPr>
                <w:rFonts w:ascii="宋体" w:hAnsi="宋体" w:eastAsia="宋体" w:cs="宋体"/>
                <w:szCs w:val="24"/>
              </w:rPr>
            </w:pPr>
          </w:p>
        </w:tc>
        <w:tc>
          <w:tcPr>
            <w:tcW w:w="992" w:type="dxa"/>
            <w:gridSpan w:val="2"/>
            <w:vMerge w:val="restart"/>
            <w:vAlign w:val="center"/>
          </w:tcPr>
          <w:p>
            <w:pPr>
              <w:rPr>
                <w:rFonts w:ascii="宋体" w:hAnsi="宋体" w:eastAsia="宋体" w:cs="宋体"/>
                <w:szCs w:val="24"/>
              </w:rPr>
            </w:pPr>
            <w:r>
              <w:rPr>
                <w:rFonts w:hint="eastAsia" w:ascii="宋体" w:hAnsi="宋体" w:eastAsia="宋体" w:cs="宋体"/>
                <w:szCs w:val="24"/>
              </w:rPr>
              <w:t>主要</w:t>
            </w:r>
          </w:p>
          <w:p>
            <w:pPr>
              <w:rPr>
                <w:rFonts w:ascii="宋体" w:hAnsi="宋体" w:eastAsia="宋体" w:cs="宋体"/>
                <w:szCs w:val="24"/>
              </w:rPr>
            </w:pPr>
            <w:r>
              <w:rPr>
                <w:rFonts w:hint="eastAsia" w:ascii="宋体" w:hAnsi="宋体" w:eastAsia="宋体" w:cs="宋体"/>
                <w:szCs w:val="24"/>
              </w:rPr>
              <w:t>产品</w:t>
            </w:r>
          </w:p>
        </w:tc>
        <w:tc>
          <w:tcPr>
            <w:tcW w:w="3545" w:type="dxa"/>
            <w:gridSpan w:val="5"/>
            <w:vAlign w:val="center"/>
          </w:tcPr>
          <w:p>
            <w:pPr>
              <w:rPr>
                <w:rFonts w:ascii="宋体" w:hAnsi="宋体" w:eastAsia="宋体" w:cs="宋体"/>
                <w:szCs w:val="24"/>
              </w:rPr>
            </w:pPr>
            <w:r>
              <w:rPr>
                <w:rFonts w:hint="eastAsia" w:ascii="宋体" w:hAnsi="宋体" w:eastAsia="宋体" w:cs="宋体"/>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r>
              <w:rPr>
                <w:rFonts w:hint="eastAsia" w:ascii="宋体" w:hAnsi="宋体" w:eastAsia="宋体" w:cs="宋体"/>
                <w:szCs w:val="24"/>
              </w:rPr>
              <w:t>固定资产</w:t>
            </w:r>
          </w:p>
          <w:p>
            <w:pPr>
              <w:rPr>
                <w:rFonts w:ascii="宋体" w:hAnsi="宋体" w:eastAsia="宋体" w:cs="宋体"/>
                <w:szCs w:val="24"/>
              </w:rPr>
            </w:pPr>
            <w:r>
              <w:rPr>
                <w:rFonts w:hint="eastAsia" w:ascii="宋体" w:hAnsi="宋体" w:eastAsia="宋体" w:cs="宋体"/>
                <w:szCs w:val="24"/>
              </w:rPr>
              <w:t>（万元）</w:t>
            </w:r>
          </w:p>
        </w:tc>
        <w:tc>
          <w:tcPr>
            <w:tcW w:w="1561" w:type="dxa"/>
            <w:vAlign w:val="center"/>
          </w:tcPr>
          <w:p>
            <w:pPr>
              <w:rPr>
                <w:rFonts w:ascii="宋体" w:hAnsi="宋体" w:eastAsia="宋体" w:cs="宋体"/>
                <w:szCs w:val="24"/>
              </w:rPr>
            </w:pPr>
            <w:r>
              <w:rPr>
                <w:rFonts w:hint="eastAsia" w:ascii="宋体" w:hAnsi="宋体" w:eastAsia="宋体" w:cs="宋体"/>
                <w:szCs w:val="24"/>
              </w:rPr>
              <w:t>原值：</w:t>
            </w:r>
          </w:p>
          <w:p>
            <w:pPr>
              <w:rPr>
                <w:rFonts w:ascii="宋体" w:hAnsi="宋体" w:eastAsia="宋体" w:cs="宋体"/>
                <w:szCs w:val="24"/>
              </w:rPr>
            </w:pPr>
            <w:r>
              <w:rPr>
                <w:rFonts w:hint="eastAsia" w:ascii="宋体" w:hAnsi="宋体" w:eastAsia="宋体" w:cs="宋体"/>
                <w:szCs w:val="24"/>
              </w:rPr>
              <w:t>净值：</w:t>
            </w:r>
          </w:p>
        </w:tc>
        <w:tc>
          <w:tcPr>
            <w:tcW w:w="1135" w:type="dxa"/>
            <w:vMerge w:val="continue"/>
            <w:vAlign w:val="center"/>
          </w:tcPr>
          <w:p>
            <w:pPr>
              <w:rPr>
                <w:rFonts w:ascii="宋体" w:hAnsi="宋体" w:eastAsia="宋体" w:cs="宋体"/>
                <w:szCs w:val="24"/>
              </w:rPr>
            </w:pPr>
          </w:p>
        </w:tc>
        <w:tc>
          <w:tcPr>
            <w:tcW w:w="992" w:type="dxa"/>
            <w:gridSpan w:val="2"/>
            <w:vMerge w:val="continue"/>
            <w:vAlign w:val="center"/>
          </w:tcPr>
          <w:p>
            <w:pPr>
              <w:rPr>
                <w:rFonts w:ascii="宋体" w:hAnsi="宋体" w:eastAsia="宋体" w:cs="宋体"/>
                <w:szCs w:val="24"/>
              </w:rPr>
            </w:pPr>
          </w:p>
        </w:tc>
        <w:tc>
          <w:tcPr>
            <w:tcW w:w="3545" w:type="dxa"/>
            <w:gridSpan w:val="5"/>
            <w:vAlign w:val="center"/>
          </w:tcPr>
          <w:p>
            <w:pPr>
              <w:rPr>
                <w:rFonts w:ascii="宋体" w:hAnsi="宋体" w:eastAsia="宋体" w:cs="宋体"/>
                <w:szCs w:val="24"/>
              </w:rPr>
            </w:pPr>
            <w:r>
              <w:rPr>
                <w:rFonts w:hint="eastAsia" w:ascii="宋体" w:hAnsi="宋体" w:eastAsia="宋体" w:cs="宋体"/>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r>
              <w:rPr>
                <w:rFonts w:hint="eastAsia" w:ascii="宋体" w:hAnsi="宋体" w:eastAsia="宋体" w:cs="宋体"/>
                <w:szCs w:val="24"/>
              </w:rPr>
              <w:t>占地面积</w:t>
            </w:r>
          </w:p>
        </w:tc>
        <w:tc>
          <w:tcPr>
            <w:tcW w:w="1561" w:type="dxa"/>
            <w:vAlign w:val="center"/>
          </w:tcPr>
          <w:p>
            <w:pPr>
              <w:rPr>
                <w:rFonts w:ascii="宋体" w:hAnsi="宋体" w:eastAsia="宋体" w:cs="宋体"/>
                <w:szCs w:val="24"/>
              </w:rPr>
            </w:pPr>
            <w:r>
              <w:rPr>
                <w:rFonts w:hint="eastAsia" w:ascii="宋体" w:hAnsi="宋体" w:eastAsia="宋体" w:cs="宋体"/>
                <w:szCs w:val="24"/>
              </w:rPr>
              <w:t>M2</w:t>
            </w:r>
          </w:p>
        </w:tc>
        <w:tc>
          <w:tcPr>
            <w:tcW w:w="1135" w:type="dxa"/>
            <w:vMerge w:val="continue"/>
            <w:vAlign w:val="center"/>
          </w:tcPr>
          <w:p>
            <w:pPr>
              <w:rPr>
                <w:rFonts w:ascii="宋体" w:hAnsi="宋体" w:eastAsia="宋体" w:cs="宋体"/>
                <w:szCs w:val="24"/>
              </w:rPr>
            </w:pPr>
          </w:p>
        </w:tc>
        <w:tc>
          <w:tcPr>
            <w:tcW w:w="992" w:type="dxa"/>
            <w:gridSpan w:val="2"/>
            <w:vMerge w:val="continue"/>
            <w:vAlign w:val="center"/>
          </w:tcPr>
          <w:p>
            <w:pPr>
              <w:rPr>
                <w:rFonts w:ascii="宋体" w:hAnsi="宋体" w:eastAsia="宋体" w:cs="宋体"/>
                <w:szCs w:val="24"/>
              </w:rPr>
            </w:pPr>
          </w:p>
        </w:tc>
        <w:tc>
          <w:tcPr>
            <w:tcW w:w="3545" w:type="dxa"/>
            <w:gridSpan w:val="5"/>
            <w:vAlign w:val="center"/>
          </w:tcPr>
          <w:p>
            <w:pPr>
              <w:rPr>
                <w:rFonts w:ascii="宋体" w:hAnsi="宋体" w:eastAsia="宋体" w:cs="宋体"/>
                <w:szCs w:val="24"/>
              </w:rPr>
            </w:pPr>
            <w:r>
              <w:rPr>
                <w:rFonts w:hint="eastAsia" w:ascii="宋体" w:hAnsi="宋体" w:eastAsia="宋体" w:cs="宋体"/>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rPr>
                <w:rFonts w:ascii="宋体" w:hAnsi="宋体" w:eastAsia="宋体" w:cs="宋体"/>
                <w:szCs w:val="24"/>
              </w:rPr>
            </w:pPr>
            <w:r>
              <w:rPr>
                <w:rFonts w:hint="eastAsia" w:ascii="宋体" w:hAnsi="宋体" w:eastAsia="宋体" w:cs="宋体"/>
                <w:szCs w:val="24"/>
              </w:rPr>
              <w:t>本次</w:t>
            </w:r>
          </w:p>
          <w:p>
            <w:pPr>
              <w:rPr>
                <w:rFonts w:ascii="宋体" w:hAnsi="宋体" w:eastAsia="宋体" w:cs="宋体"/>
                <w:szCs w:val="24"/>
              </w:rPr>
            </w:pPr>
            <w:r>
              <w:rPr>
                <w:rFonts w:hint="eastAsia" w:ascii="宋体" w:hAnsi="宋体" w:eastAsia="宋体" w:cs="宋体"/>
                <w:szCs w:val="24"/>
              </w:rPr>
              <w:t>响应</w:t>
            </w:r>
          </w:p>
          <w:p>
            <w:pPr>
              <w:rPr>
                <w:rFonts w:ascii="宋体" w:hAnsi="宋体" w:eastAsia="宋体" w:cs="宋体"/>
                <w:szCs w:val="24"/>
              </w:rPr>
            </w:pPr>
            <w:r>
              <w:rPr>
                <w:rFonts w:hint="eastAsia" w:ascii="宋体" w:hAnsi="宋体" w:eastAsia="宋体" w:cs="宋体"/>
                <w:szCs w:val="24"/>
              </w:rPr>
              <w:t>产品</w:t>
            </w:r>
          </w:p>
          <w:p>
            <w:pPr>
              <w:rPr>
                <w:rFonts w:ascii="宋体" w:hAnsi="宋体" w:eastAsia="宋体" w:cs="宋体"/>
                <w:szCs w:val="24"/>
              </w:rPr>
            </w:pPr>
            <w:r>
              <w:rPr>
                <w:rFonts w:hint="eastAsia" w:ascii="宋体" w:hAnsi="宋体" w:eastAsia="宋体" w:cs="宋体"/>
                <w:szCs w:val="24"/>
              </w:rPr>
              <w:t>情况</w:t>
            </w:r>
          </w:p>
        </w:tc>
        <w:tc>
          <w:tcPr>
            <w:tcW w:w="1559" w:type="dxa"/>
            <w:gridSpan w:val="2"/>
            <w:vAlign w:val="center"/>
          </w:tcPr>
          <w:p>
            <w:pPr>
              <w:jc w:val="center"/>
              <w:rPr>
                <w:rFonts w:ascii="宋体" w:hAnsi="宋体" w:eastAsia="宋体" w:cs="宋体"/>
                <w:szCs w:val="24"/>
              </w:rPr>
            </w:pPr>
            <w:r>
              <w:rPr>
                <w:rFonts w:hint="eastAsia" w:ascii="宋体" w:hAnsi="宋体" w:eastAsia="宋体" w:cs="宋体"/>
                <w:szCs w:val="24"/>
              </w:rPr>
              <w:t>本次响应产品名称</w:t>
            </w:r>
          </w:p>
        </w:tc>
        <w:tc>
          <w:tcPr>
            <w:tcW w:w="1561" w:type="dxa"/>
            <w:vAlign w:val="center"/>
          </w:tcPr>
          <w:p>
            <w:pPr>
              <w:jc w:val="center"/>
              <w:rPr>
                <w:rFonts w:ascii="宋体" w:hAnsi="宋体" w:eastAsia="宋体" w:cs="宋体"/>
                <w:szCs w:val="24"/>
              </w:rPr>
            </w:pPr>
            <w:r>
              <w:rPr>
                <w:rFonts w:hint="eastAsia" w:ascii="宋体" w:hAnsi="宋体" w:eastAsia="宋体" w:cs="宋体"/>
                <w:szCs w:val="24"/>
              </w:rPr>
              <w:t>型    号</w:t>
            </w:r>
          </w:p>
        </w:tc>
        <w:tc>
          <w:tcPr>
            <w:tcW w:w="1135" w:type="dxa"/>
            <w:vAlign w:val="center"/>
          </w:tcPr>
          <w:p>
            <w:pPr>
              <w:jc w:val="center"/>
              <w:rPr>
                <w:rFonts w:ascii="宋体" w:hAnsi="宋体" w:eastAsia="宋体" w:cs="宋体"/>
                <w:szCs w:val="24"/>
              </w:rPr>
            </w:pPr>
            <w:r>
              <w:rPr>
                <w:rFonts w:hint="eastAsia" w:ascii="宋体" w:hAnsi="宋体" w:eastAsia="宋体" w:cs="宋体"/>
                <w:szCs w:val="24"/>
              </w:rPr>
              <w:t>上年产销量</w:t>
            </w:r>
          </w:p>
        </w:tc>
        <w:tc>
          <w:tcPr>
            <w:tcW w:w="1263" w:type="dxa"/>
            <w:gridSpan w:val="3"/>
            <w:vAlign w:val="center"/>
          </w:tcPr>
          <w:p>
            <w:pPr>
              <w:jc w:val="center"/>
              <w:rPr>
                <w:rFonts w:ascii="宋体" w:hAnsi="宋体" w:eastAsia="宋体" w:cs="宋体"/>
                <w:szCs w:val="24"/>
              </w:rPr>
            </w:pPr>
            <w:r>
              <w:rPr>
                <w:rFonts w:hint="eastAsia" w:ascii="宋体" w:hAnsi="宋体" w:eastAsia="宋体" w:cs="宋体"/>
                <w:szCs w:val="24"/>
              </w:rPr>
              <w:t>产品技术</w:t>
            </w:r>
          </w:p>
          <w:p>
            <w:pPr>
              <w:jc w:val="center"/>
              <w:rPr>
                <w:rFonts w:ascii="宋体" w:hAnsi="宋体" w:eastAsia="宋体" w:cs="宋体"/>
                <w:szCs w:val="24"/>
              </w:rPr>
            </w:pPr>
            <w:r>
              <w:rPr>
                <w:rFonts w:hint="eastAsia" w:ascii="宋体" w:hAnsi="宋体" w:eastAsia="宋体" w:cs="宋体"/>
                <w:szCs w:val="24"/>
              </w:rPr>
              <w:t>先进水平</w:t>
            </w:r>
          </w:p>
        </w:tc>
        <w:tc>
          <w:tcPr>
            <w:tcW w:w="1273" w:type="dxa"/>
            <w:gridSpan w:val="2"/>
            <w:vAlign w:val="center"/>
          </w:tcPr>
          <w:p>
            <w:pPr>
              <w:jc w:val="center"/>
              <w:rPr>
                <w:rFonts w:ascii="宋体" w:hAnsi="宋体" w:eastAsia="宋体" w:cs="宋体"/>
                <w:szCs w:val="24"/>
              </w:rPr>
            </w:pPr>
            <w:r>
              <w:rPr>
                <w:rFonts w:hint="eastAsia" w:ascii="宋体" w:hAnsi="宋体" w:eastAsia="宋体" w:cs="宋体"/>
                <w:szCs w:val="24"/>
              </w:rPr>
              <w:t>曾获何级</w:t>
            </w:r>
          </w:p>
          <w:p>
            <w:pPr>
              <w:jc w:val="center"/>
              <w:rPr>
                <w:rFonts w:ascii="宋体" w:hAnsi="宋体" w:eastAsia="宋体" w:cs="宋体"/>
                <w:szCs w:val="24"/>
              </w:rPr>
            </w:pPr>
            <w:r>
              <w:rPr>
                <w:rFonts w:hint="eastAsia" w:ascii="宋体" w:hAnsi="宋体" w:eastAsia="宋体" w:cs="宋体"/>
                <w:szCs w:val="24"/>
              </w:rPr>
              <w:t>何种奖励</w:t>
            </w:r>
          </w:p>
        </w:tc>
        <w:tc>
          <w:tcPr>
            <w:tcW w:w="2001" w:type="dxa"/>
            <w:gridSpan w:val="2"/>
            <w:vAlign w:val="center"/>
          </w:tcPr>
          <w:p>
            <w:pPr>
              <w:jc w:val="center"/>
              <w:rPr>
                <w:rFonts w:ascii="宋体" w:hAnsi="宋体" w:eastAsia="宋体" w:cs="宋体"/>
                <w:szCs w:val="24"/>
              </w:rPr>
            </w:pPr>
            <w:r>
              <w:rPr>
                <w:rFonts w:hint="eastAsia" w:ascii="宋体" w:hAnsi="宋体" w:eastAsia="宋体" w:cs="宋体"/>
                <w:szCs w:val="24"/>
              </w:rPr>
              <w:t>主要用户名称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p>
        </w:tc>
        <w:tc>
          <w:tcPr>
            <w:tcW w:w="1561" w:type="dxa"/>
            <w:vAlign w:val="center"/>
          </w:tcPr>
          <w:p>
            <w:pPr>
              <w:rPr>
                <w:rFonts w:ascii="宋体" w:hAnsi="宋体" w:eastAsia="宋体" w:cs="宋体"/>
                <w:szCs w:val="24"/>
              </w:rPr>
            </w:pPr>
          </w:p>
        </w:tc>
        <w:tc>
          <w:tcPr>
            <w:tcW w:w="1135" w:type="dxa"/>
            <w:vAlign w:val="center"/>
          </w:tcPr>
          <w:p>
            <w:pPr>
              <w:rPr>
                <w:rFonts w:ascii="宋体" w:hAnsi="宋体" w:eastAsia="宋体" w:cs="宋体"/>
                <w:szCs w:val="24"/>
              </w:rPr>
            </w:pPr>
          </w:p>
        </w:tc>
        <w:tc>
          <w:tcPr>
            <w:tcW w:w="1263" w:type="dxa"/>
            <w:gridSpan w:val="3"/>
            <w:vAlign w:val="center"/>
          </w:tcPr>
          <w:p>
            <w:pPr>
              <w:rPr>
                <w:rFonts w:ascii="宋体" w:hAnsi="宋体" w:eastAsia="宋体" w:cs="宋体"/>
                <w:szCs w:val="24"/>
              </w:rPr>
            </w:pPr>
          </w:p>
        </w:tc>
        <w:tc>
          <w:tcPr>
            <w:tcW w:w="1273" w:type="dxa"/>
            <w:gridSpan w:val="2"/>
            <w:vAlign w:val="center"/>
          </w:tcPr>
          <w:p>
            <w:pPr>
              <w:rPr>
                <w:rFonts w:ascii="宋体" w:hAnsi="宋体" w:eastAsia="宋体" w:cs="宋体"/>
                <w:szCs w:val="24"/>
              </w:rPr>
            </w:pPr>
          </w:p>
        </w:tc>
        <w:tc>
          <w:tcPr>
            <w:tcW w:w="2001" w:type="dxa"/>
            <w:gridSpan w:val="2"/>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p>
        </w:tc>
        <w:tc>
          <w:tcPr>
            <w:tcW w:w="1561" w:type="dxa"/>
            <w:vAlign w:val="center"/>
          </w:tcPr>
          <w:p>
            <w:pPr>
              <w:rPr>
                <w:rFonts w:ascii="宋体" w:hAnsi="宋体" w:eastAsia="宋体" w:cs="宋体"/>
                <w:szCs w:val="24"/>
              </w:rPr>
            </w:pPr>
          </w:p>
        </w:tc>
        <w:tc>
          <w:tcPr>
            <w:tcW w:w="1135" w:type="dxa"/>
            <w:vAlign w:val="center"/>
          </w:tcPr>
          <w:p>
            <w:pPr>
              <w:rPr>
                <w:rFonts w:ascii="宋体" w:hAnsi="宋体" w:eastAsia="宋体" w:cs="宋体"/>
                <w:szCs w:val="24"/>
              </w:rPr>
            </w:pPr>
          </w:p>
        </w:tc>
        <w:tc>
          <w:tcPr>
            <w:tcW w:w="1263" w:type="dxa"/>
            <w:gridSpan w:val="3"/>
            <w:vAlign w:val="center"/>
          </w:tcPr>
          <w:p>
            <w:pPr>
              <w:rPr>
                <w:rFonts w:ascii="宋体" w:hAnsi="宋体" w:eastAsia="宋体" w:cs="宋体"/>
                <w:szCs w:val="24"/>
              </w:rPr>
            </w:pPr>
          </w:p>
        </w:tc>
        <w:tc>
          <w:tcPr>
            <w:tcW w:w="1273" w:type="dxa"/>
            <w:gridSpan w:val="2"/>
            <w:vAlign w:val="center"/>
          </w:tcPr>
          <w:p>
            <w:pPr>
              <w:rPr>
                <w:rFonts w:ascii="宋体" w:hAnsi="宋体" w:eastAsia="宋体" w:cs="宋体"/>
                <w:szCs w:val="24"/>
              </w:rPr>
            </w:pPr>
          </w:p>
        </w:tc>
        <w:tc>
          <w:tcPr>
            <w:tcW w:w="2001" w:type="dxa"/>
            <w:gridSpan w:val="2"/>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p>
        </w:tc>
        <w:tc>
          <w:tcPr>
            <w:tcW w:w="1561" w:type="dxa"/>
            <w:vAlign w:val="center"/>
          </w:tcPr>
          <w:p>
            <w:pPr>
              <w:rPr>
                <w:rFonts w:ascii="宋体" w:hAnsi="宋体" w:eastAsia="宋体" w:cs="宋体"/>
                <w:szCs w:val="24"/>
              </w:rPr>
            </w:pPr>
          </w:p>
        </w:tc>
        <w:tc>
          <w:tcPr>
            <w:tcW w:w="1135" w:type="dxa"/>
            <w:vAlign w:val="center"/>
          </w:tcPr>
          <w:p>
            <w:pPr>
              <w:rPr>
                <w:rFonts w:ascii="宋体" w:hAnsi="宋体" w:eastAsia="宋体" w:cs="宋体"/>
                <w:szCs w:val="24"/>
              </w:rPr>
            </w:pPr>
          </w:p>
        </w:tc>
        <w:tc>
          <w:tcPr>
            <w:tcW w:w="1263" w:type="dxa"/>
            <w:gridSpan w:val="3"/>
            <w:vAlign w:val="center"/>
          </w:tcPr>
          <w:p>
            <w:pPr>
              <w:rPr>
                <w:rFonts w:ascii="宋体" w:hAnsi="宋体" w:eastAsia="宋体" w:cs="宋体"/>
                <w:szCs w:val="24"/>
              </w:rPr>
            </w:pPr>
          </w:p>
        </w:tc>
        <w:tc>
          <w:tcPr>
            <w:tcW w:w="1273" w:type="dxa"/>
            <w:gridSpan w:val="2"/>
            <w:vAlign w:val="center"/>
          </w:tcPr>
          <w:p>
            <w:pPr>
              <w:rPr>
                <w:rFonts w:ascii="宋体" w:hAnsi="宋体" w:eastAsia="宋体" w:cs="宋体"/>
                <w:szCs w:val="24"/>
              </w:rPr>
            </w:pPr>
          </w:p>
        </w:tc>
        <w:tc>
          <w:tcPr>
            <w:tcW w:w="2001" w:type="dxa"/>
            <w:gridSpan w:val="2"/>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rPr>
                <w:rFonts w:ascii="宋体" w:hAnsi="宋体" w:eastAsia="宋体" w:cs="宋体"/>
                <w:szCs w:val="24"/>
              </w:rPr>
            </w:pPr>
          </w:p>
        </w:tc>
        <w:tc>
          <w:tcPr>
            <w:tcW w:w="1559" w:type="dxa"/>
            <w:gridSpan w:val="2"/>
            <w:vAlign w:val="center"/>
          </w:tcPr>
          <w:p>
            <w:pPr>
              <w:rPr>
                <w:rFonts w:ascii="宋体" w:hAnsi="宋体" w:eastAsia="宋体" w:cs="宋体"/>
                <w:szCs w:val="24"/>
              </w:rPr>
            </w:pPr>
          </w:p>
        </w:tc>
        <w:tc>
          <w:tcPr>
            <w:tcW w:w="1561" w:type="dxa"/>
            <w:vAlign w:val="center"/>
          </w:tcPr>
          <w:p>
            <w:pPr>
              <w:rPr>
                <w:rFonts w:ascii="宋体" w:hAnsi="宋体" w:eastAsia="宋体" w:cs="宋体"/>
                <w:szCs w:val="24"/>
              </w:rPr>
            </w:pPr>
          </w:p>
        </w:tc>
        <w:tc>
          <w:tcPr>
            <w:tcW w:w="1135" w:type="dxa"/>
            <w:vAlign w:val="center"/>
          </w:tcPr>
          <w:p>
            <w:pPr>
              <w:rPr>
                <w:rFonts w:ascii="宋体" w:hAnsi="宋体" w:eastAsia="宋体" w:cs="宋体"/>
                <w:szCs w:val="24"/>
              </w:rPr>
            </w:pPr>
          </w:p>
        </w:tc>
        <w:tc>
          <w:tcPr>
            <w:tcW w:w="1263" w:type="dxa"/>
            <w:gridSpan w:val="3"/>
            <w:vAlign w:val="center"/>
          </w:tcPr>
          <w:p>
            <w:pPr>
              <w:rPr>
                <w:rFonts w:ascii="宋体" w:hAnsi="宋体" w:eastAsia="宋体" w:cs="宋体"/>
                <w:szCs w:val="24"/>
              </w:rPr>
            </w:pPr>
          </w:p>
        </w:tc>
        <w:tc>
          <w:tcPr>
            <w:tcW w:w="1273" w:type="dxa"/>
            <w:gridSpan w:val="2"/>
            <w:vAlign w:val="center"/>
          </w:tcPr>
          <w:p>
            <w:pPr>
              <w:rPr>
                <w:rFonts w:ascii="宋体" w:hAnsi="宋体" w:eastAsia="宋体" w:cs="宋体"/>
                <w:szCs w:val="24"/>
              </w:rPr>
            </w:pPr>
          </w:p>
        </w:tc>
        <w:tc>
          <w:tcPr>
            <w:tcW w:w="2001" w:type="dxa"/>
            <w:gridSpan w:val="2"/>
            <w:vAlign w:val="center"/>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rPr>
                <w:rFonts w:ascii="宋体" w:hAnsi="宋体" w:eastAsia="宋体" w:cs="宋体"/>
                <w:szCs w:val="24"/>
              </w:rPr>
            </w:pPr>
            <w:r>
              <w:rPr>
                <w:rFonts w:hint="eastAsia" w:ascii="宋体" w:hAnsi="宋体" w:eastAsia="宋体" w:cs="宋体"/>
                <w:szCs w:val="24"/>
              </w:rPr>
              <w:t>其它</w:t>
            </w:r>
          </w:p>
        </w:tc>
        <w:tc>
          <w:tcPr>
            <w:tcW w:w="5106" w:type="dxa"/>
            <w:gridSpan w:val="5"/>
            <w:vAlign w:val="center"/>
          </w:tcPr>
          <w:p>
            <w:pPr>
              <w:rPr>
                <w:rFonts w:ascii="宋体" w:hAnsi="宋体" w:eastAsia="宋体" w:cs="宋体"/>
                <w:szCs w:val="24"/>
              </w:rPr>
            </w:pPr>
            <w:r>
              <w:rPr>
                <w:rFonts w:hint="eastAsia" w:ascii="宋体" w:hAnsi="宋体" w:eastAsia="宋体" w:cs="宋体"/>
                <w:szCs w:val="24"/>
              </w:rPr>
              <w:t>近3年完成及正在执行的合同中发生的由于供应商违约或部分违约而引起诉讼和受到索赔的案件具体情况及结果（须如实填写，若对此进行隐瞒，尔后又被采购人或采购代理机构发现，或被它人举证成立，其响应资格将被取消）。</w:t>
            </w:r>
          </w:p>
        </w:tc>
        <w:tc>
          <w:tcPr>
            <w:tcW w:w="3686" w:type="dxa"/>
            <w:gridSpan w:val="6"/>
            <w:vAlign w:val="center"/>
          </w:tcPr>
          <w:p>
            <w:pPr>
              <w:rPr>
                <w:rFonts w:ascii="宋体" w:hAnsi="宋体" w:eastAsia="宋体" w:cs="宋体"/>
                <w:szCs w:val="24"/>
              </w:rPr>
            </w:pPr>
            <w:r>
              <w:rPr>
                <w:rFonts w:hint="eastAsia" w:ascii="宋体" w:hAnsi="宋体" w:eastAsia="宋体" w:cs="宋体"/>
                <w:szCs w:val="24"/>
              </w:rPr>
              <w:t>如有名称变更（非因该单位出现了与资格预审（如果经此程序）时的营业性质的根本改变以至不再满足本次磋商的要求），说明原名称因何种原因变更为现名称，并提供由市场监督管理部门出具的变更证明文件。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815" w:type="dxa"/>
            <w:vMerge w:val="continue"/>
            <w:vAlign w:val="center"/>
          </w:tcPr>
          <w:p>
            <w:pPr>
              <w:rPr>
                <w:rFonts w:ascii="宋体" w:hAnsi="宋体" w:eastAsia="宋体" w:cs="宋体"/>
                <w:szCs w:val="24"/>
              </w:rPr>
            </w:pPr>
          </w:p>
        </w:tc>
        <w:tc>
          <w:tcPr>
            <w:tcW w:w="5106" w:type="dxa"/>
            <w:gridSpan w:val="5"/>
            <w:vAlign w:val="center"/>
          </w:tcPr>
          <w:p>
            <w:pPr>
              <w:rPr>
                <w:rFonts w:ascii="宋体" w:hAnsi="宋体" w:eastAsia="宋体" w:cs="宋体"/>
                <w:szCs w:val="24"/>
              </w:rPr>
            </w:pPr>
          </w:p>
        </w:tc>
        <w:tc>
          <w:tcPr>
            <w:tcW w:w="3686" w:type="dxa"/>
            <w:gridSpan w:val="6"/>
            <w:vAlign w:val="center"/>
          </w:tcPr>
          <w:p>
            <w:pPr>
              <w:rPr>
                <w:rFonts w:ascii="宋体" w:hAnsi="宋体" w:eastAsia="宋体" w:cs="宋体"/>
                <w:szCs w:val="24"/>
              </w:rPr>
            </w:pPr>
          </w:p>
        </w:tc>
      </w:tr>
    </w:tbl>
    <w:p>
      <w:pPr>
        <w:widowControl/>
        <w:jc w:val="left"/>
        <w:rPr>
          <w:rFonts w:ascii="宋体" w:hAnsi="宋体" w:eastAsia="宋体" w:cs="宋体"/>
          <w:szCs w:val="24"/>
        </w:rPr>
      </w:pPr>
      <w:r>
        <w:rPr>
          <w:rFonts w:hint="eastAsia" w:ascii="宋体" w:hAnsi="宋体" w:eastAsia="宋体" w:cs="宋体"/>
          <w:szCs w:val="24"/>
        </w:rPr>
        <w:br w:type="page"/>
      </w:r>
    </w:p>
    <w:p>
      <w:pPr>
        <w:widowControl/>
        <w:shd w:val="clear" w:color="auto" w:fill="FFFFFF"/>
        <w:jc w:val="left"/>
        <w:outlineLvl w:val="1"/>
        <w:rPr>
          <w:rFonts w:ascii="宋体" w:hAnsi="宋体" w:eastAsia="宋体" w:cs="宋体"/>
          <w:b/>
          <w:szCs w:val="24"/>
        </w:rPr>
      </w:pPr>
      <w:r>
        <w:rPr>
          <w:rFonts w:hint="eastAsia" w:ascii="宋体" w:hAnsi="宋体" w:eastAsia="宋体" w:cs="宋体"/>
          <w:b/>
          <w:szCs w:val="24"/>
        </w:rPr>
        <w:t>附件9：商务部分（技术部分）正负偏离表</w:t>
      </w:r>
    </w:p>
    <w:p>
      <w:pPr>
        <w:jc w:val="center"/>
        <w:rPr>
          <w:rFonts w:ascii="宋体" w:hAnsi="宋体" w:eastAsia="宋体" w:cs="宋体"/>
          <w:b/>
          <w:szCs w:val="24"/>
        </w:rPr>
      </w:pPr>
      <w:r>
        <w:rPr>
          <w:rFonts w:hint="eastAsia" w:ascii="宋体" w:hAnsi="宋体" w:eastAsia="宋体" w:cs="宋体"/>
          <w:b/>
          <w:szCs w:val="24"/>
        </w:rPr>
        <w:t>商务部分（技术部分）正负偏离表</w:t>
      </w:r>
    </w:p>
    <w:p>
      <w:pPr>
        <w:jc w:val="center"/>
        <w:rPr>
          <w:rFonts w:ascii="宋体" w:hAnsi="宋体" w:eastAsia="宋体" w:cs="宋体"/>
          <w:szCs w:val="24"/>
        </w:rPr>
      </w:pPr>
      <w:r>
        <w:rPr>
          <w:rFonts w:hint="eastAsia" w:ascii="宋体" w:hAnsi="宋体" w:eastAsia="宋体" w:cs="宋体"/>
          <w:szCs w:val="24"/>
        </w:rPr>
        <w:t>（由供应商据实提交，表格不够自行添加）</w:t>
      </w:r>
    </w:p>
    <w:tbl>
      <w:tblPr>
        <w:tblStyle w:val="16"/>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586"/>
        <w:gridCol w:w="2706"/>
        <w:gridCol w:w="272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49" w:type="dxa"/>
            <w:vAlign w:val="center"/>
          </w:tcPr>
          <w:p>
            <w:pPr>
              <w:jc w:val="center"/>
              <w:rPr>
                <w:rFonts w:ascii="宋体" w:hAnsi="宋体" w:eastAsia="宋体" w:cs="宋体"/>
                <w:szCs w:val="24"/>
              </w:rPr>
            </w:pPr>
            <w:r>
              <w:rPr>
                <w:rFonts w:hint="eastAsia" w:ascii="宋体" w:hAnsi="宋体" w:eastAsia="宋体" w:cs="宋体"/>
                <w:szCs w:val="24"/>
              </w:rPr>
              <w:t>序号</w:t>
            </w:r>
          </w:p>
        </w:tc>
        <w:tc>
          <w:tcPr>
            <w:tcW w:w="1586" w:type="dxa"/>
            <w:vAlign w:val="center"/>
          </w:tcPr>
          <w:p>
            <w:pPr>
              <w:jc w:val="center"/>
              <w:rPr>
                <w:rFonts w:ascii="宋体" w:hAnsi="宋体" w:eastAsia="宋体" w:cs="宋体"/>
                <w:szCs w:val="24"/>
              </w:rPr>
            </w:pPr>
            <w:r>
              <w:rPr>
                <w:rFonts w:hint="eastAsia" w:ascii="宋体" w:hAnsi="宋体" w:eastAsia="宋体" w:cs="宋体"/>
                <w:szCs w:val="24"/>
              </w:rPr>
              <w:t>货物或服务名称</w:t>
            </w:r>
          </w:p>
        </w:tc>
        <w:tc>
          <w:tcPr>
            <w:tcW w:w="2706" w:type="dxa"/>
            <w:vAlign w:val="center"/>
          </w:tcPr>
          <w:p>
            <w:pPr>
              <w:jc w:val="center"/>
              <w:rPr>
                <w:rFonts w:ascii="宋体" w:hAnsi="宋体" w:eastAsia="宋体" w:cs="宋体"/>
                <w:szCs w:val="24"/>
              </w:rPr>
            </w:pPr>
            <w:r>
              <w:rPr>
                <w:rFonts w:hint="eastAsia" w:ascii="宋体" w:hAnsi="宋体" w:eastAsia="宋体" w:cs="宋体"/>
                <w:szCs w:val="24"/>
              </w:rPr>
              <w:t>招标文件要求</w:t>
            </w:r>
          </w:p>
        </w:tc>
        <w:tc>
          <w:tcPr>
            <w:tcW w:w="2720" w:type="dxa"/>
            <w:vAlign w:val="center"/>
          </w:tcPr>
          <w:p>
            <w:pPr>
              <w:jc w:val="center"/>
              <w:rPr>
                <w:rFonts w:ascii="宋体" w:hAnsi="宋体" w:eastAsia="宋体" w:cs="宋体"/>
                <w:szCs w:val="24"/>
              </w:rPr>
            </w:pPr>
            <w:r>
              <w:rPr>
                <w:rFonts w:hint="eastAsia" w:ascii="宋体" w:hAnsi="宋体" w:eastAsia="宋体" w:cs="宋体"/>
                <w:szCs w:val="24"/>
              </w:rPr>
              <w:t>响应文件响应情况</w:t>
            </w:r>
          </w:p>
        </w:tc>
        <w:tc>
          <w:tcPr>
            <w:tcW w:w="1417" w:type="dxa"/>
            <w:vAlign w:val="center"/>
          </w:tcPr>
          <w:p>
            <w:pPr>
              <w:jc w:val="center"/>
              <w:rPr>
                <w:rFonts w:ascii="宋体" w:hAnsi="宋体" w:eastAsia="宋体" w:cs="宋体"/>
                <w:szCs w:val="24"/>
              </w:rPr>
            </w:pPr>
            <w:r>
              <w:rPr>
                <w:rFonts w:hint="eastAsia" w:ascii="宋体" w:hAnsi="宋体" w:eastAsia="宋体" w:cs="宋体"/>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49" w:type="dxa"/>
          </w:tcPr>
          <w:p>
            <w:pPr>
              <w:jc w:val="center"/>
              <w:rPr>
                <w:rFonts w:ascii="宋体" w:hAnsi="宋体" w:eastAsia="宋体" w:cs="宋体"/>
                <w:szCs w:val="24"/>
              </w:rPr>
            </w:pPr>
            <w:r>
              <w:rPr>
                <w:rFonts w:hint="eastAsia" w:ascii="宋体" w:hAnsi="宋体" w:eastAsia="宋体" w:cs="宋体"/>
                <w:szCs w:val="24"/>
              </w:rPr>
              <w:t>1</w:t>
            </w:r>
          </w:p>
        </w:tc>
        <w:tc>
          <w:tcPr>
            <w:tcW w:w="1586" w:type="dxa"/>
            <w:vAlign w:val="center"/>
          </w:tcPr>
          <w:p>
            <w:pPr>
              <w:rPr>
                <w:rFonts w:ascii="宋体" w:hAnsi="宋体" w:eastAsia="宋体" w:cs="宋体"/>
                <w:szCs w:val="24"/>
              </w:rPr>
            </w:pPr>
          </w:p>
        </w:tc>
        <w:tc>
          <w:tcPr>
            <w:tcW w:w="2706" w:type="dxa"/>
            <w:vAlign w:val="center"/>
          </w:tcPr>
          <w:p>
            <w:pPr>
              <w:rPr>
                <w:rFonts w:ascii="宋体" w:hAnsi="宋体" w:eastAsia="宋体" w:cs="宋体"/>
                <w:szCs w:val="24"/>
              </w:rPr>
            </w:pPr>
          </w:p>
        </w:tc>
        <w:tc>
          <w:tcPr>
            <w:tcW w:w="2720" w:type="dxa"/>
            <w:vAlign w:val="center"/>
          </w:tcPr>
          <w:p>
            <w:pPr>
              <w:rPr>
                <w:rFonts w:ascii="宋体" w:hAnsi="宋体" w:eastAsia="宋体" w:cs="宋体"/>
                <w:szCs w:val="24"/>
              </w:rPr>
            </w:pPr>
          </w:p>
        </w:tc>
        <w:tc>
          <w:tcPr>
            <w:tcW w:w="1417" w:type="dxa"/>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9" w:type="dxa"/>
          </w:tcPr>
          <w:p>
            <w:pPr>
              <w:jc w:val="center"/>
              <w:rPr>
                <w:rFonts w:ascii="宋体" w:hAnsi="宋体" w:eastAsia="宋体" w:cs="宋体"/>
                <w:szCs w:val="24"/>
              </w:rPr>
            </w:pPr>
            <w:r>
              <w:rPr>
                <w:rFonts w:hint="eastAsia" w:ascii="宋体" w:hAnsi="宋体" w:eastAsia="宋体" w:cs="宋体"/>
                <w:szCs w:val="24"/>
              </w:rPr>
              <w:t>2</w:t>
            </w:r>
          </w:p>
        </w:tc>
        <w:tc>
          <w:tcPr>
            <w:tcW w:w="1586" w:type="dxa"/>
            <w:vAlign w:val="center"/>
          </w:tcPr>
          <w:p>
            <w:pPr>
              <w:rPr>
                <w:rFonts w:ascii="宋体" w:hAnsi="宋体" w:eastAsia="宋体" w:cs="宋体"/>
                <w:szCs w:val="24"/>
              </w:rPr>
            </w:pPr>
          </w:p>
        </w:tc>
        <w:tc>
          <w:tcPr>
            <w:tcW w:w="2706" w:type="dxa"/>
            <w:vAlign w:val="center"/>
          </w:tcPr>
          <w:p>
            <w:pPr>
              <w:rPr>
                <w:rFonts w:ascii="宋体" w:hAnsi="宋体" w:eastAsia="宋体" w:cs="宋体"/>
                <w:szCs w:val="24"/>
              </w:rPr>
            </w:pPr>
          </w:p>
        </w:tc>
        <w:tc>
          <w:tcPr>
            <w:tcW w:w="2720" w:type="dxa"/>
            <w:vAlign w:val="center"/>
          </w:tcPr>
          <w:p>
            <w:pPr>
              <w:rPr>
                <w:rFonts w:ascii="宋体" w:hAnsi="宋体" w:eastAsia="宋体" w:cs="宋体"/>
                <w:szCs w:val="24"/>
              </w:rPr>
            </w:pPr>
          </w:p>
        </w:tc>
        <w:tc>
          <w:tcPr>
            <w:tcW w:w="1417" w:type="dxa"/>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9" w:type="dxa"/>
          </w:tcPr>
          <w:p>
            <w:pPr>
              <w:jc w:val="center"/>
              <w:rPr>
                <w:rFonts w:ascii="宋体" w:hAnsi="宋体" w:eastAsia="宋体" w:cs="宋体"/>
                <w:szCs w:val="24"/>
              </w:rPr>
            </w:pPr>
            <w:r>
              <w:rPr>
                <w:rFonts w:hint="eastAsia" w:ascii="宋体" w:hAnsi="宋体" w:eastAsia="宋体" w:cs="宋体"/>
                <w:szCs w:val="24"/>
              </w:rPr>
              <w:t>3</w:t>
            </w:r>
          </w:p>
        </w:tc>
        <w:tc>
          <w:tcPr>
            <w:tcW w:w="1586" w:type="dxa"/>
            <w:vAlign w:val="center"/>
          </w:tcPr>
          <w:p>
            <w:pPr>
              <w:rPr>
                <w:rFonts w:ascii="宋体" w:hAnsi="宋体" w:eastAsia="宋体" w:cs="宋体"/>
                <w:szCs w:val="24"/>
              </w:rPr>
            </w:pPr>
          </w:p>
        </w:tc>
        <w:tc>
          <w:tcPr>
            <w:tcW w:w="2706" w:type="dxa"/>
            <w:vAlign w:val="center"/>
          </w:tcPr>
          <w:p>
            <w:pPr>
              <w:rPr>
                <w:rFonts w:ascii="宋体" w:hAnsi="宋体" w:eastAsia="宋体" w:cs="宋体"/>
                <w:szCs w:val="24"/>
              </w:rPr>
            </w:pPr>
          </w:p>
        </w:tc>
        <w:tc>
          <w:tcPr>
            <w:tcW w:w="2720" w:type="dxa"/>
            <w:vAlign w:val="center"/>
          </w:tcPr>
          <w:p>
            <w:pPr>
              <w:rPr>
                <w:rFonts w:ascii="宋体" w:hAnsi="宋体" w:eastAsia="宋体" w:cs="宋体"/>
                <w:szCs w:val="24"/>
              </w:rPr>
            </w:pPr>
          </w:p>
        </w:tc>
        <w:tc>
          <w:tcPr>
            <w:tcW w:w="1417" w:type="dxa"/>
          </w:tcPr>
          <w:p>
            <w:pP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49" w:type="dxa"/>
          </w:tcPr>
          <w:p>
            <w:pPr>
              <w:jc w:val="center"/>
              <w:rPr>
                <w:rFonts w:ascii="宋体" w:hAnsi="宋体" w:eastAsia="宋体" w:cs="宋体"/>
                <w:szCs w:val="24"/>
              </w:rPr>
            </w:pPr>
          </w:p>
        </w:tc>
        <w:tc>
          <w:tcPr>
            <w:tcW w:w="1586" w:type="dxa"/>
            <w:vAlign w:val="center"/>
          </w:tcPr>
          <w:p>
            <w:pPr>
              <w:rPr>
                <w:rFonts w:ascii="宋体" w:hAnsi="宋体" w:eastAsia="宋体" w:cs="宋体"/>
                <w:szCs w:val="24"/>
              </w:rPr>
            </w:pPr>
          </w:p>
        </w:tc>
        <w:tc>
          <w:tcPr>
            <w:tcW w:w="2706" w:type="dxa"/>
            <w:vAlign w:val="center"/>
          </w:tcPr>
          <w:p>
            <w:pPr>
              <w:rPr>
                <w:rFonts w:ascii="宋体" w:hAnsi="宋体" w:eastAsia="宋体" w:cs="宋体"/>
                <w:szCs w:val="24"/>
              </w:rPr>
            </w:pPr>
          </w:p>
        </w:tc>
        <w:tc>
          <w:tcPr>
            <w:tcW w:w="2720" w:type="dxa"/>
            <w:vAlign w:val="center"/>
          </w:tcPr>
          <w:p>
            <w:pPr>
              <w:rPr>
                <w:rFonts w:ascii="宋体" w:hAnsi="宋体" w:eastAsia="宋体" w:cs="宋体"/>
                <w:szCs w:val="24"/>
              </w:rPr>
            </w:pPr>
          </w:p>
        </w:tc>
        <w:tc>
          <w:tcPr>
            <w:tcW w:w="1417" w:type="dxa"/>
          </w:tcPr>
          <w:p>
            <w:pPr>
              <w:rPr>
                <w:rFonts w:ascii="宋体" w:hAnsi="宋体" w:eastAsia="宋体" w:cs="宋体"/>
                <w:szCs w:val="24"/>
              </w:rPr>
            </w:pPr>
          </w:p>
        </w:tc>
      </w:tr>
    </w:tbl>
    <w:p>
      <w:pPr>
        <w:rPr>
          <w:rFonts w:ascii="宋体" w:hAnsi="宋体" w:eastAsia="宋体" w:cs="宋体"/>
          <w:szCs w:val="24"/>
        </w:rPr>
      </w:pPr>
      <w:r>
        <w:rPr>
          <w:rFonts w:hint="eastAsia" w:ascii="宋体" w:hAnsi="宋体" w:eastAsia="宋体" w:cs="宋体"/>
          <w:szCs w:val="24"/>
        </w:rPr>
        <w:t>注：</w:t>
      </w:r>
    </w:p>
    <w:p>
      <w:pPr>
        <w:ind w:firstLine="480" w:firstLineChars="200"/>
        <w:rPr>
          <w:rFonts w:ascii="宋体" w:hAnsi="宋体" w:eastAsia="宋体" w:cs="宋体"/>
          <w:szCs w:val="24"/>
        </w:rPr>
      </w:pPr>
      <w:r>
        <w:rPr>
          <w:rFonts w:hint="eastAsia" w:ascii="宋体" w:hAnsi="宋体" w:eastAsia="宋体" w:cs="宋体"/>
          <w:szCs w:val="24"/>
        </w:rPr>
        <w:t>1.供应商提交的响应文件中与招标文件第三部分“项目需求说明”中的商务、技术部分的要求有不同时，应逐条填列在偏离表中，否则将认为供应商接受招标文件的所有要求。完全响应部分不填。</w:t>
      </w:r>
    </w:p>
    <w:p>
      <w:pPr>
        <w:ind w:firstLine="480" w:firstLineChars="200"/>
        <w:rPr>
          <w:rFonts w:ascii="宋体" w:hAnsi="宋体" w:eastAsia="宋体" w:cs="宋体"/>
          <w:szCs w:val="24"/>
        </w:rPr>
      </w:pPr>
      <w:r>
        <w:rPr>
          <w:rFonts w:hint="eastAsia" w:ascii="宋体" w:hAnsi="宋体" w:eastAsia="宋体" w:cs="宋体"/>
          <w:szCs w:val="24"/>
        </w:rPr>
        <w:t>2.“偏离说明”一栏选择“正偏离”、“负偏离”进行填写。正偏离的确认和负偏离的是否相应招标文件，经三分之二评委认定。</w:t>
      </w:r>
    </w:p>
    <w:p>
      <w:pPr>
        <w:ind w:firstLine="480" w:firstLineChars="200"/>
        <w:rPr>
          <w:rFonts w:ascii="宋体" w:hAnsi="宋体" w:eastAsia="宋体" w:cs="宋体"/>
          <w:szCs w:val="24"/>
        </w:rPr>
      </w:pPr>
      <w:r>
        <w:rPr>
          <w:rFonts w:hint="eastAsia" w:ascii="宋体" w:hAnsi="宋体" w:eastAsia="宋体" w:cs="宋体"/>
          <w:szCs w:val="24"/>
        </w:rPr>
        <w:t>3.供应商如果虚假响应，将承担被暂停参加采购人组织政府采购活动的风险。</w:t>
      </w:r>
    </w:p>
    <w:p>
      <w:pPr>
        <w:tabs>
          <w:tab w:val="left" w:pos="3852"/>
        </w:tabs>
        <w:ind w:firstLine="480" w:firstLineChars="200"/>
        <w:rPr>
          <w:rFonts w:ascii="宋体" w:hAnsi="宋体" w:eastAsia="宋体" w:cs="宋体"/>
          <w:szCs w:val="24"/>
        </w:rPr>
      </w:pPr>
      <w:r>
        <w:rPr>
          <w:rFonts w:hint="eastAsia" w:ascii="宋体" w:hAnsi="宋体" w:eastAsia="宋体" w:cs="宋体"/>
          <w:szCs w:val="24"/>
        </w:rPr>
        <w:t>4.供应商若提供其他增值服务，可以在表中自行据实填写。</w:t>
      </w:r>
      <w:bookmarkStart w:id="19" w:name="_Toc105579206"/>
    </w:p>
    <w:bookmarkEnd w:id="19"/>
    <w:p>
      <w:pPr>
        <w:rPr>
          <w:rFonts w:ascii="宋体" w:hAnsi="宋体" w:eastAsia="宋体" w:cs="宋体"/>
          <w:szCs w:val="24"/>
        </w:rPr>
      </w:pPr>
      <w:bookmarkStart w:id="20" w:name="_Toc11031"/>
      <w:bookmarkStart w:id="21" w:name="_Toc21360"/>
      <w:bookmarkStart w:id="22" w:name="_Toc29140"/>
      <w:bookmarkStart w:id="23" w:name="_Toc468781351"/>
    </w:p>
    <w:p>
      <w:pPr>
        <w:autoSpaceDE w:val="0"/>
        <w:autoSpaceDN w:val="0"/>
        <w:snapToGrid w:val="0"/>
        <w:ind w:left="120" w:leftChars="50" w:firstLine="480" w:firstLineChars="200"/>
        <w:rPr>
          <w:rFonts w:ascii="宋体" w:hAnsi="宋体" w:eastAsia="宋体" w:cs="宋体"/>
          <w:szCs w:val="24"/>
        </w:rPr>
      </w:pPr>
    </w:p>
    <w:bookmarkEnd w:id="20"/>
    <w:bookmarkEnd w:id="21"/>
    <w:bookmarkEnd w:id="22"/>
    <w:p>
      <w:pPr>
        <w:spacing w:before="120" w:after="120"/>
        <w:ind w:firstLine="562" w:firstLineChars="200"/>
        <w:rPr>
          <w:rFonts w:ascii="宋体" w:hAnsi="宋体" w:eastAsia="宋体" w:cs="宋体"/>
          <w:szCs w:val="24"/>
        </w:rPr>
      </w:pPr>
      <w:r>
        <w:rPr>
          <w:rFonts w:hint="eastAsia" w:ascii="宋体" w:hAnsi="宋体" w:eastAsia="宋体" w:cs="宋体"/>
          <w:b/>
          <w:spacing w:val="20"/>
          <w:szCs w:val="24"/>
        </w:rPr>
        <w:br w:type="page"/>
      </w:r>
    </w:p>
    <w:p>
      <w:pPr>
        <w:widowControl/>
        <w:shd w:val="clear" w:color="auto" w:fill="FFFFFF"/>
        <w:jc w:val="left"/>
        <w:outlineLvl w:val="1"/>
        <w:rPr>
          <w:rFonts w:ascii="宋体" w:hAnsi="宋体" w:eastAsia="宋体" w:cs="宋体"/>
          <w:b/>
          <w:szCs w:val="24"/>
        </w:rPr>
      </w:pPr>
      <w:bookmarkStart w:id="24" w:name="_Toc15854"/>
      <w:bookmarkStart w:id="25" w:name="_Toc9094"/>
      <w:r>
        <w:rPr>
          <w:rFonts w:hint="eastAsia" w:ascii="宋体" w:hAnsi="宋体" w:eastAsia="宋体" w:cs="宋体"/>
          <w:b/>
          <w:szCs w:val="24"/>
        </w:rPr>
        <w:t>附件10：报价总表</w:t>
      </w:r>
    </w:p>
    <w:p>
      <w:pPr>
        <w:pStyle w:val="2"/>
        <w:ind w:left="480" w:firstLine="480"/>
        <w:jc w:val="center"/>
      </w:pPr>
      <w:r>
        <w:rPr>
          <w:rFonts w:hint="eastAsia"/>
        </w:rPr>
        <w:t>磋商报价表(首次）</w:t>
      </w:r>
    </w:p>
    <w:tbl>
      <w:tblPr>
        <w:tblStyle w:val="16"/>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12"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szCs w:val="20"/>
              </w:rPr>
            </w:pPr>
            <w:r>
              <w:rPr>
                <w:szCs w:val="20"/>
              </w:rPr>
              <w:t>项目编号</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12"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szCs w:val="20"/>
              </w:rPr>
            </w:pPr>
            <w:r>
              <w:rPr>
                <w:szCs w:val="20"/>
              </w:rPr>
              <w:t>项目名称</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812"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szCs w:val="20"/>
              </w:rPr>
            </w:pPr>
            <w:r>
              <w:rPr>
                <w:szCs w:val="20"/>
              </w:rPr>
              <w:t>磋商报价总计</w:t>
            </w:r>
          </w:p>
          <w:p>
            <w:pPr>
              <w:spacing w:line="440" w:lineRule="exact"/>
              <w:jc w:val="center"/>
              <w:rPr>
                <w:szCs w:val="20"/>
              </w:rPr>
            </w:pPr>
            <w:r>
              <w:rPr>
                <w:szCs w:val="20"/>
              </w:rPr>
              <w:t>（首次）</w:t>
            </w:r>
          </w:p>
        </w:tc>
        <w:tc>
          <w:tcPr>
            <w:tcW w:w="7525"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2880" w:hanging="2880" w:hangingChars="1200"/>
              <w:jc w:val="left"/>
            </w:pPr>
            <w:r>
              <w:rPr>
                <w:szCs w:val="20"/>
              </w:rPr>
              <w:t>人民币（大写）：，¥</w:t>
            </w:r>
            <w:r>
              <w:rPr>
                <w:rFonts w:hint="eastAsia"/>
                <w:szCs w:val="20"/>
              </w:rPr>
              <w:t>/年</w:t>
            </w:r>
            <w:r>
              <w:rPr>
                <w:szCs w:val="20"/>
              </w:rPr>
              <w:t>。</w:t>
            </w:r>
          </w:p>
        </w:tc>
      </w:tr>
    </w:tbl>
    <w:p>
      <w:pPr>
        <w:snapToGrid w:val="0"/>
        <w:spacing w:line="520" w:lineRule="exact"/>
        <w:jc w:val="right"/>
      </w:pPr>
    </w:p>
    <w:p>
      <w:pPr>
        <w:snapToGrid w:val="0"/>
        <w:spacing w:line="520" w:lineRule="exact"/>
        <w:jc w:val="right"/>
      </w:pPr>
      <w:r>
        <w:t>供应商名称：（加盖公章）</w:t>
      </w:r>
    </w:p>
    <w:p>
      <w:pPr>
        <w:snapToGrid w:val="0"/>
        <w:spacing w:line="520" w:lineRule="exact"/>
        <w:jc w:val="right"/>
      </w:pPr>
      <w:r>
        <w:t>法定代表人或被授权人：（签字或盖章）</w:t>
      </w:r>
    </w:p>
    <w:p>
      <w:pPr>
        <w:kinsoku w:val="0"/>
        <w:topLinePunct/>
        <w:snapToGrid w:val="0"/>
        <w:spacing w:line="520" w:lineRule="exact"/>
        <w:ind w:firstLine="4080" w:firstLineChars="1700"/>
      </w:pPr>
      <w:r>
        <w:t>日期：</w:t>
      </w:r>
    </w:p>
    <w:p>
      <w:pPr>
        <w:kinsoku w:val="0"/>
        <w:topLinePunct/>
        <w:snapToGrid w:val="0"/>
        <w:spacing w:line="520" w:lineRule="exact"/>
        <w:rPr>
          <w:b/>
        </w:rPr>
      </w:pPr>
      <w:r>
        <w:rPr>
          <w:b/>
        </w:rPr>
        <w:t>注：</w:t>
      </w:r>
    </w:p>
    <w:p>
      <w:pPr>
        <w:numPr>
          <w:ilvl w:val="0"/>
          <w:numId w:val="1"/>
        </w:numPr>
        <w:kinsoku w:val="0"/>
        <w:topLinePunct/>
        <w:snapToGrid w:val="0"/>
        <w:spacing w:line="520" w:lineRule="exact"/>
      </w:pPr>
      <w:r>
        <w:t xml:space="preserve"> 本表为格式表，不得自行改动，必须提供。</w:t>
      </w:r>
    </w:p>
    <w:p>
      <w:pPr>
        <w:numPr>
          <w:ilvl w:val="0"/>
          <w:numId w:val="1"/>
        </w:numPr>
        <w:kinsoku w:val="0"/>
        <w:topLinePunct/>
        <w:snapToGrid w:val="0"/>
        <w:spacing w:line="520" w:lineRule="exact"/>
      </w:pPr>
      <w:r>
        <w:t>投标总报价（以人民币计价）应</w:t>
      </w:r>
      <w:r>
        <w:rPr>
          <w:color w:val="000000"/>
        </w:rPr>
        <w:t>包括</w:t>
      </w:r>
      <w:r>
        <w:t>所有组成部分的日常运行维护服务、质量控制、故障维修、仪器调试、数据审核、分析报告的编写和上报、备件、耗材供应、应急服务、人工、差旅、运输、装卸、通信、保险、各种税费等一切费用。</w:t>
      </w:r>
      <w:r>
        <w:rPr>
          <w:bCs/>
        </w:rPr>
        <w:t>即包含响应磋商文件采购要求和为完成本项目服务所发生的全部费用。</w:t>
      </w:r>
    </w:p>
    <w:p>
      <w:pPr>
        <w:numPr>
          <w:ilvl w:val="0"/>
          <w:numId w:val="1"/>
        </w:numPr>
        <w:kinsoku w:val="0"/>
        <w:topLinePunct/>
        <w:snapToGrid w:val="0"/>
        <w:spacing w:line="520" w:lineRule="exact"/>
      </w:pPr>
      <w:r>
        <w:rPr>
          <w:b/>
          <w:color w:val="FF0000"/>
        </w:rPr>
        <w:t>第二次报价在开标现场填写，磋商响应文件密封提交时只需填写首次磋商报价。</w:t>
      </w:r>
    </w:p>
    <w:p>
      <w:pPr>
        <w:rPr>
          <w:rFonts w:ascii="宋体" w:hAnsi="宋体" w:eastAsia="宋体" w:cs="宋体"/>
          <w:b/>
          <w:szCs w:val="24"/>
        </w:rPr>
      </w:pPr>
      <w:r>
        <w:rPr>
          <w:rFonts w:hint="eastAsia" w:ascii="宋体" w:hAnsi="宋体" w:eastAsia="宋体" w:cs="宋体"/>
          <w:b/>
          <w:szCs w:val="24"/>
        </w:rPr>
        <w:br w:type="page"/>
      </w:r>
    </w:p>
    <w:p>
      <w:pPr>
        <w:outlineLvl w:val="1"/>
        <w:rPr>
          <w:rFonts w:ascii="宋体" w:hAnsi="宋体" w:eastAsia="宋体" w:cs="宋体"/>
          <w:b/>
          <w:szCs w:val="24"/>
        </w:rPr>
      </w:pPr>
      <w:r>
        <w:rPr>
          <w:rFonts w:hint="eastAsia" w:ascii="宋体" w:hAnsi="宋体" w:eastAsia="宋体" w:cs="宋体"/>
          <w:b/>
          <w:szCs w:val="24"/>
        </w:rPr>
        <w:t>附件11:  小微企业、监狱企业、残疾人福利单位的声明函或证明材料</w:t>
      </w:r>
      <w:bookmarkEnd w:id="24"/>
      <w:bookmarkEnd w:id="25"/>
    </w:p>
    <w:p>
      <w:pPr>
        <w:pStyle w:val="38"/>
        <w:snapToGrid w:val="0"/>
        <w:spacing w:beforeLines="50"/>
        <w:rPr>
          <w:rFonts w:hAnsi="宋体" w:eastAsia="宋体" w:cs="宋体"/>
          <w:sz w:val="24"/>
          <w:szCs w:val="24"/>
        </w:rPr>
      </w:pPr>
    </w:p>
    <w:p>
      <w:pPr>
        <w:jc w:val="center"/>
        <w:outlineLvl w:val="3"/>
        <w:rPr>
          <w:rFonts w:ascii="宋体" w:hAnsi="宋体" w:eastAsia="宋体" w:cs="宋体"/>
          <w:szCs w:val="24"/>
        </w:rPr>
      </w:pPr>
      <w:bookmarkStart w:id="26" w:name="_Toc21598"/>
      <w:bookmarkStart w:id="27" w:name="_Toc24338"/>
      <w:bookmarkStart w:id="28" w:name="_Toc13843"/>
      <w:r>
        <w:rPr>
          <w:rFonts w:hint="eastAsia" w:ascii="宋体" w:hAnsi="宋体" w:eastAsia="宋体" w:cs="宋体"/>
          <w:szCs w:val="24"/>
        </w:rPr>
        <w:t>（一）中小企业声明函（工程、服务）</w:t>
      </w:r>
      <w:bookmarkEnd w:id="26"/>
      <w:bookmarkEnd w:id="27"/>
      <w:bookmarkEnd w:id="28"/>
    </w:p>
    <w:p>
      <w:pPr>
        <w:jc w:val="center"/>
        <w:rPr>
          <w:rFonts w:ascii="宋体" w:hAnsi="宋体" w:eastAsia="宋体" w:cs="宋体"/>
          <w:szCs w:val="24"/>
        </w:rPr>
      </w:pPr>
      <w:r>
        <w:rPr>
          <w:rFonts w:hint="eastAsia" w:ascii="宋体" w:hAnsi="宋体" w:eastAsia="宋体" w:cs="宋体"/>
          <w:szCs w:val="24"/>
        </w:rPr>
        <w:t>（注：符合中小企业划型标准的企业请提供本函，不符合的不提供本函）</w:t>
      </w:r>
    </w:p>
    <w:p>
      <w:pPr>
        <w:pStyle w:val="38"/>
        <w:snapToGrid w:val="0"/>
        <w:spacing w:beforeLines="50"/>
        <w:rPr>
          <w:rFonts w:hAnsi="宋体" w:eastAsia="宋体" w:cs="宋体"/>
          <w:sz w:val="24"/>
          <w:szCs w:val="24"/>
        </w:rPr>
      </w:pPr>
    </w:p>
    <w:p>
      <w:pPr>
        <w:ind w:firstLine="480" w:firstLineChars="200"/>
        <w:rPr>
          <w:rFonts w:ascii="宋体" w:hAnsi="宋体" w:eastAsia="宋体" w:cs="宋体"/>
          <w:szCs w:val="24"/>
        </w:rPr>
      </w:pPr>
      <w:r>
        <w:rPr>
          <w:rFonts w:hint="eastAsia" w:ascii="宋体" w:hAnsi="宋体" w:eastAsia="宋体" w:cs="宋体"/>
          <w:szCs w:val="24"/>
        </w:rPr>
        <w:t xml:space="preserve">本公司（ 联合体 ）郑重声明，根据《政府采购促进中小企业发展管理办法》（财库﹝2020﹞46 号）的规定，本公司（ 联合体 ）参加 </w:t>
      </w:r>
      <w:r>
        <w:rPr>
          <w:rFonts w:hint="eastAsia" w:ascii="宋体" w:hAnsi="宋体" w:eastAsia="宋体" w:cs="宋体"/>
          <w:i/>
          <w:iCs/>
          <w:szCs w:val="24"/>
          <w:u w:val="single"/>
        </w:rPr>
        <w:t xml:space="preserve"> （ 单位名称 ） </w:t>
      </w:r>
      <w:r>
        <w:rPr>
          <w:rFonts w:hint="eastAsia" w:ascii="宋体" w:hAnsi="宋体" w:eastAsia="宋体" w:cs="宋体"/>
          <w:szCs w:val="24"/>
        </w:rPr>
        <w:t>的</w:t>
      </w:r>
      <w:r>
        <w:rPr>
          <w:rFonts w:hint="eastAsia" w:ascii="宋体" w:hAnsi="宋体" w:eastAsia="宋体" w:cs="宋体"/>
          <w:i/>
          <w:iCs/>
          <w:szCs w:val="24"/>
          <w:u w:val="single"/>
        </w:rPr>
        <w:t>（ 项目名称 ）</w:t>
      </w:r>
      <w:r>
        <w:rPr>
          <w:rFonts w:hint="eastAsia" w:ascii="宋体" w:hAnsi="宋体" w:eastAsia="宋体" w:cs="宋体"/>
          <w:szCs w:val="24"/>
        </w:rPr>
        <w:t>采购活动，工程的施工单位全部为符合政策要求的中小企业（或者：服务全部由符合政策要求的中小企业承接）。相关企业 （含联合体中的中小企业、签订分包意向协议的中小企业 ）的具体情况如下：</w:t>
      </w:r>
    </w:p>
    <w:p>
      <w:pPr>
        <w:ind w:firstLine="480" w:firstLineChars="200"/>
        <w:rPr>
          <w:rFonts w:ascii="宋体" w:hAnsi="宋体" w:eastAsia="宋体" w:cs="宋体"/>
          <w:szCs w:val="24"/>
        </w:rPr>
      </w:pPr>
      <w:r>
        <w:rPr>
          <w:rFonts w:hint="eastAsia" w:ascii="宋体" w:hAnsi="宋体" w:eastAsia="宋体" w:cs="宋体"/>
          <w:szCs w:val="24"/>
        </w:rPr>
        <w:t>1.</w:t>
      </w:r>
      <w:r>
        <w:rPr>
          <w:rFonts w:hint="eastAsia" w:ascii="宋体" w:hAnsi="宋体" w:eastAsia="宋体" w:cs="宋体"/>
          <w:i/>
          <w:iCs/>
          <w:szCs w:val="24"/>
          <w:u w:val="single"/>
        </w:rPr>
        <w:t>（ 标的名称 ）</w:t>
      </w:r>
      <w:r>
        <w:rPr>
          <w:rFonts w:hint="eastAsia" w:ascii="宋体" w:hAnsi="宋体" w:eastAsia="宋体" w:cs="宋体"/>
          <w:szCs w:val="24"/>
        </w:rPr>
        <w:t xml:space="preserve"> ，属于</w:t>
      </w:r>
      <w:r>
        <w:rPr>
          <w:rFonts w:hint="eastAsia" w:ascii="宋体" w:hAnsi="宋体" w:eastAsia="宋体" w:cs="宋体"/>
          <w:i/>
          <w:iCs/>
          <w:szCs w:val="24"/>
          <w:u w:val="single"/>
        </w:rPr>
        <w:t>（ 采购文件中明确的所属行业 ）</w:t>
      </w:r>
      <w:r>
        <w:rPr>
          <w:rFonts w:hint="eastAsia" w:ascii="宋体" w:hAnsi="宋体" w:eastAsia="宋体" w:cs="宋体"/>
          <w:szCs w:val="24"/>
        </w:rPr>
        <w:t>；承建（承接）企业为</w:t>
      </w:r>
      <w:r>
        <w:rPr>
          <w:rFonts w:hint="eastAsia" w:ascii="宋体" w:hAnsi="宋体" w:eastAsia="宋体" w:cs="宋体"/>
          <w:i/>
          <w:iCs/>
          <w:szCs w:val="24"/>
          <w:u w:val="single"/>
        </w:rPr>
        <w:t>（ 企业名称 ）</w:t>
      </w:r>
      <w:r>
        <w:rPr>
          <w:rFonts w:hint="eastAsia" w:ascii="宋体" w:hAnsi="宋体" w:eastAsia="宋体" w:cs="宋体"/>
          <w:szCs w:val="24"/>
        </w:rPr>
        <w:t>，从业人员人，营业收入为万元，资产总额为万元¹，属于</w:t>
      </w:r>
      <w:r>
        <w:rPr>
          <w:rFonts w:hint="eastAsia" w:ascii="宋体" w:hAnsi="宋体" w:eastAsia="宋体" w:cs="宋体"/>
          <w:i/>
          <w:iCs/>
          <w:szCs w:val="24"/>
          <w:u w:val="single"/>
        </w:rPr>
        <w:t>（ 中型企业、小型企业、微型企业 ）</w:t>
      </w: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2.</w:t>
      </w:r>
      <w:r>
        <w:rPr>
          <w:rFonts w:hint="eastAsia" w:ascii="宋体" w:hAnsi="宋体" w:eastAsia="宋体" w:cs="宋体"/>
          <w:i/>
          <w:iCs/>
          <w:szCs w:val="24"/>
          <w:u w:val="single"/>
        </w:rPr>
        <w:t>（ 标的名称 ）</w:t>
      </w:r>
      <w:r>
        <w:rPr>
          <w:rFonts w:hint="eastAsia" w:ascii="宋体" w:hAnsi="宋体" w:eastAsia="宋体" w:cs="宋体"/>
          <w:szCs w:val="24"/>
        </w:rPr>
        <w:t>，属于</w:t>
      </w:r>
      <w:r>
        <w:rPr>
          <w:rFonts w:hint="eastAsia" w:ascii="宋体" w:hAnsi="宋体" w:eastAsia="宋体" w:cs="宋体"/>
          <w:i/>
          <w:iCs/>
          <w:szCs w:val="24"/>
          <w:u w:val="single"/>
        </w:rPr>
        <w:t>（ 采购文件中明确的所属行业 ）</w:t>
      </w:r>
      <w:r>
        <w:rPr>
          <w:rFonts w:hint="eastAsia" w:ascii="宋体" w:hAnsi="宋体" w:eastAsia="宋体" w:cs="宋体"/>
          <w:szCs w:val="24"/>
        </w:rPr>
        <w:t>；承建（承接）企业为</w:t>
      </w:r>
      <w:r>
        <w:rPr>
          <w:rFonts w:hint="eastAsia" w:ascii="宋体" w:hAnsi="宋体" w:eastAsia="宋体" w:cs="宋体"/>
          <w:i/>
          <w:iCs/>
          <w:szCs w:val="24"/>
          <w:u w:val="single"/>
        </w:rPr>
        <w:t>（ 企业名称 ）</w:t>
      </w:r>
      <w:r>
        <w:rPr>
          <w:rFonts w:hint="eastAsia" w:ascii="宋体" w:hAnsi="宋体" w:eastAsia="宋体" w:cs="宋体"/>
          <w:szCs w:val="24"/>
        </w:rPr>
        <w:t>，从业人员人，营业收入为万元，资产总额为万元，属于</w:t>
      </w:r>
      <w:r>
        <w:rPr>
          <w:rFonts w:hint="eastAsia" w:ascii="宋体" w:hAnsi="宋体" w:eastAsia="宋体" w:cs="宋体"/>
          <w:i/>
          <w:iCs/>
          <w:szCs w:val="24"/>
          <w:u w:val="single"/>
        </w:rPr>
        <w:t>（ 中型企业、小型企业、微型企业 ）</w:t>
      </w: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w:t>
      </w:r>
    </w:p>
    <w:p>
      <w:pPr>
        <w:ind w:firstLine="480" w:firstLineChars="200"/>
        <w:rPr>
          <w:rFonts w:ascii="宋体" w:hAnsi="宋体" w:eastAsia="宋体" w:cs="宋体"/>
          <w:szCs w:val="24"/>
        </w:rPr>
      </w:pPr>
      <w:r>
        <w:rPr>
          <w:rFonts w:hint="eastAsia" w:ascii="宋体" w:hAnsi="宋体" w:eastAsia="宋体" w:cs="宋体"/>
          <w:szCs w:val="24"/>
        </w:rPr>
        <w:t>以上企业，不属于大企业的分支机构，不存在控股股东为大企业的情形，也不存在与大企业的负责人为同一人的情形。</w:t>
      </w:r>
    </w:p>
    <w:p>
      <w:pPr>
        <w:ind w:firstLine="480" w:firstLineChars="200"/>
        <w:rPr>
          <w:rFonts w:ascii="宋体" w:hAnsi="宋体" w:eastAsia="宋体" w:cs="宋体"/>
          <w:szCs w:val="24"/>
        </w:rPr>
      </w:pPr>
      <w:r>
        <w:rPr>
          <w:rFonts w:hint="eastAsia" w:ascii="宋体" w:hAnsi="宋体" w:eastAsia="宋体" w:cs="宋体"/>
          <w:szCs w:val="24"/>
        </w:rPr>
        <w:t>本企业对上述声明内容的真实性负责。如有虚假，将依法承担相应责任。</w:t>
      </w:r>
    </w:p>
    <w:p>
      <w:pPr>
        <w:ind w:firstLine="480" w:firstLineChars="200"/>
        <w:rPr>
          <w:rFonts w:ascii="宋体" w:hAnsi="宋体" w:eastAsia="宋体" w:cs="宋体"/>
          <w:szCs w:val="24"/>
        </w:rPr>
      </w:pPr>
    </w:p>
    <w:p>
      <w:pPr>
        <w:ind w:firstLine="4320" w:firstLineChars="1800"/>
        <w:rPr>
          <w:rFonts w:ascii="宋体" w:hAnsi="宋体" w:eastAsia="宋体" w:cs="宋体"/>
          <w:szCs w:val="24"/>
        </w:rPr>
      </w:pPr>
      <w:r>
        <w:rPr>
          <w:rFonts w:hint="eastAsia" w:ascii="宋体" w:hAnsi="宋体" w:eastAsia="宋体" w:cs="宋体"/>
          <w:szCs w:val="24"/>
        </w:rPr>
        <w:t>企业名称（盖章）：</w:t>
      </w:r>
    </w:p>
    <w:p>
      <w:pPr>
        <w:ind w:firstLine="4320" w:firstLineChars="1800"/>
        <w:rPr>
          <w:rFonts w:ascii="宋体" w:hAnsi="宋体" w:eastAsia="宋体" w:cs="宋体"/>
          <w:szCs w:val="24"/>
        </w:rPr>
      </w:pPr>
      <w:r>
        <w:rPr>
          <w:rFonts w:hint="eastAsia" w:ascii="宋体" w:hAnsi="宋体" w:eastAsia="宋体" w:cs="宋体"/>
          <w:szCs w:val="24"/>
        </w:rPr>
        <w:t>日 期：</w:t>
      </w:r>
    </w:p>
    <w:p>
      <w:pPr>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jc w:val="center"/>
        <w:outlineLvl w:val="3"/>
        <w:rPr>
          <w:rFonts w:ascii="宋体" w:hAnsi="宋体" w:eastAsia="宋体" w:cs="宋体"/>
          <w:szCs w:val="24"/>
        </w:rPr>
      </w:pPr>
      <w:r>
        <w:rPr>
          <w:rFonts w:hint="eastAsia" w:ascii="宋体" w:hAnsi="宋体" w:eastAsia="宋体" w:cs="宋体"/>
          <w:szCs w:val="24"/>
        </w:rPr>
        <w:br w:type="page"/>
      </w:r>
      <w:bookmarkStart w:id="29" w:name="_Toc13395"/>
      <w:bookmarkStart w:id="30" w:name="_Toc3780"/>
      <w:bookmarkStart w:id="31" w:name="_Toc17321"/>
      <w:r>
        <w:rPr>
          <w:rFonts w:hint="eastAsia" w:ascii="宋体" w:hAnsi="宋体" w:eastAsia="宋体" w:cs="宋体"/>
          <w:szCs w:val="24"/>
        </w:rPr>
        <w:t>（二）监狱企业证明</w:t>
      </w:r>
      <w:bookmarkEnd w:id="29"/>
      <w:bookmarkEnd w:id="30"/>
      <w:bookmarkEnd w:id="31"/>
    </w:p>
    <w:p>
      <w:pPr>
        <w:jc w:val="center"/>
        <w:rPr>
          <w:rFonts w:ascii="宋体" w:hAnsi="宋体" w:eastAsia="宋体" w:cs="宋体"/>
          <w:szCs w:val="24"/>
        </w:rPr>
      </w:pPr>
      <w:r>
        <w:rPr>
          <w:rFonts w:hint="eastAsia" w:ascii="宋体" w:hAnsi="宋体" w:eastAsia="宋体" w:cs="宋体"/>
          <w:szCs w:val="24"/>
        </w:rPr>
        <w:t>（注：符合条件的监狱企业请提供本函，不符合的不提供本函）</w:t>
      </w:r>
    </w:p>
    <w:p>
      <w:pPr>
        <w:pStyle w:val="38"/>
        <w:snapToGrid w:val="0"/>
        <w:spacing w:beforeLines="50"/>
        <w:rPr>
          <w:rFonts w:hAnsi="宋体" w:eastAsia="宋体" w:cs="宋体"/>
          <w:sz w:val="24"/>
          <w:szCs w:val="24"/>
        </w:rPr>
      </w:pPr>
    </w:p>
    <w:p>
      <w:pPr>
        <w:snapToGrid w:val="0"/>
        <w:spacing w:beforeLines="50"/>
        <w:ind w:firstLine="480" w:firstLineChars="200"/>
        <w:rPr>
          <w:rFonts w:ascii="宋体" w:hAnsi="宋体" w:eastAsia="宋体" w:cs="宋体"/>
          <w:szCs w:val="24"/>
        </w:rPr>
      </w:pPr>
      <w:r>
        <w:rPr>
          <w:rFonts w:hint="eastAsia" w:ascii="宋体" w:hAnsi="宋体" w:eastAsia="宋体" w:cs="宋体"/>
          <w:szCs w:val="24"/>
        </w:rPr>
        <w:t>省级以上监狱管理局、戒毒管理局（含新疆生产建设兵团）出具的属于监狱企业的证明文件。</w:t>
      </w:r>
    </w:p>
    <w:p>
      <w:pPr>
        <w:pStyle w:val="38"/>
        <w:snapToGrid w:val="0"/>
        <w:spacing w:beforeLines="50"/>
        <w:rPr>
          <w:rFonts w:hAnsi="宋体" w:eastAsia="宋体" w:cs="宋体"/>
          <w:sz w:val="24"/>
          <w:szCs w:val="24"/>
        </w:rPr>
      </w:pPr>
    </w:p>
    <w:p>
      <w:pPr>
        <w:jc w:val="center"/>
        <w:outlineLvl w:val="3"/>
        <w:rPr>
          <w:rFonts w:ascii="宋体" w:hAnsi="宋体" w:eastAsia="宋体" w:cs="宋体"/>
          <w:szCs w:val="24"/>
        </w:rPr>
      </w:pPr>
      <w:bookmarkStart w:id="32" w:name="_Toc10862"/>
      <w:bookmarkStart w:id="33" w:name="_Toc25672"/>
      <w:bookmarkStart w:id="34" w:name="_Toc13898"/>
      <w:r>
        <w:rPr>
          <w:rFonts w:hint="eastAsia" w:ascii="宋体" w:hAnsi="宋体" w:eastAsia="宋体" w:cs="宋体"/>
          <w:szCs w:val="24"/>
        </w:rPr>
        <w:t>（三）残疾人福利性单位声明函</w:t>
      </w:r>
      <w:bookmarkEnd w:id="32"/>
      <w:bookmarkEnd w:id="33"/>
      <w:bookmarkEnd w:id="34"/>
    </w:p>
    <w:p>
      <w:pPr>
        <w:jc w:val="center"/>
        <w:rPr>
          <w:rFonts w:ascii="宋体" w:hAnsi="宋体" w:eastAsia="宋体" w:cs="宋体"/>
          <w:szCs w:val="24"/>
        </w:rPr>
      </w:pPr>
      <w:r>
        <w:rPr>
          <w:rFonts w:hint="eastAsia" w:ascii="宋体" w:hAnsi="宋体" w:eastAsia="宋体" w:cs="宋体"/>
          <w:szCs w:val="24"/>
        </w:rPr>
        <w:t>（注：符合条件的残疾人福利性单位请提供本函，不符合的不提供本函）</w:t>
      </w:r>
    </w:p>
    <w:p>
      <w:pPr>
        <w:rPr>
          <w:rFonts w:ascii="宋体" w:hAnsi="宋体" w:eastAsia="宋体" w:cs="宋体"/>
          <w:szCs w:val="24"/>
        </w:rPr>
      </w:pPr>
    </w:p>
    <w:p>
      <w:pPr>
        <w:rPr>
          <w:rFonts w:ascii="宋体" w:hAnsi="宋体" w:eastAsia="宋体" w:cs="宋体"/>
          <w:szCs w:val="24"/>
        </w:rPr>
      </w:pPr>
    </w:p>
    <w:p>
      <w:pPr>
        <w:ind w:firstLine="480" w:firstLineChars="200"/>
        <w:rPr>
          <w:rFonts w:ascii="宋体" w:hAnsi="宋体" w:eastAsia="宋体" w:cs="宋体"/>
          <w:szCs w:val="24"/>
        </w:rPr>
      </w:pPr>
      <w:r>
        <w:rPr>
          <w:rFonts w:hint="eastAsia" w:ascii="宋体" w:hAnsi="宋体" w:eastAsia="宋体" w:cs="宋体"/>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firstLineChars="200"/>
        <w:rPr>
          <w:rFonts w:ascii="宋体" w:hAnsi="宋体" w:eastAsia="宋体" w:cs="宋体"/>
          <w:szCs w:val="24"/>
        </w:rPr>
      </w:pPr>
    </w:p>
    <w:p>
      <w:pPr>
        <w:ind w:firstLine="480" w:firstLineChars="200"/>
        <w:rPr>
          <w:rFonts w:ascii="宋体" w:hAnsi="宋体" w:eastAsia="宋体" w:cs="宋体"/>
          <w:szCs w:val="24"/>
        </w:rPr>
      </w:pPr>
      <w:r>
        <w:rPr>
          <w:rFonts w:hint="eastAsia" w:ascii="宋体" w:hAnsi="宋体" w:eastAsia="宋体" w:cs="宋体"/>
          <w:szCs w:val="24"/>
        </w:rPr>
        <w:t>本单位对上述声明的真实性负责。如有虚假，将依法承担相应责任。</w:t>
      </w:r>
    </w:p>
    <w:p>
      <w:pPr>
        <w:ind w:firstLine="480" w:firstLineChars="200"/>
        <w:rPr>
          <w:rFonts w:ascii="宋体" w:hAnsi="宋体" w:eastAsia="宋体" w:cs="宋体"/>
          <w:szCs w:val="24"/>
        </w:rPr>
      </w:pPr>
    </w:p>
    <w:p>
      <w:pPr>
        <w:ind w:firstLine="480" w:firstLineChars="200"/>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ind w:firstLine="5040" w:firstLineChars="2100"/>
        <w:rPr>
          <w:rFonts w:ascii="宋体" w:hAnsi="宋体" w:eastAsia="宋体" w:cs="宋体"/>
          <w:szCs w:val="24"/>
        </w:rPr>
      </w:pPr>
      <w:r>
        <w:rPr>
          <w:rFonts w:hint="eastAsia" w:ascii="宋体" w:hAnsi="宋体" w:eastAsia="宋体" w:cs="宋体"/>
          <w:szCs w:val="24"/>
        </w:rPr>
        <w:t>单位名称（盖章）：</w:t>
      </w:r>
    </w:p>
    <w:p>
      <w:pPr>
        <w:rPr>
          <w:rFonts w:ascii="宋体" w:hAnsi="宋体" w:eastAsia="宋体" w:cs="宋体"/>
          <w:szCs w:val="24"/>
        </w:rPr>
      </w:pPr>
    </w:p>
    <w:p>
      <w:pPr>
        <w:ind w:firstLine="5040" w:firstLineChars="2100"/>
      </w:pPr>
      <w:r>
        <w:rPr>
          <w:rFonts w:hint="eastAsia" w:ascii="宋体" w:hAnsi="宋体" w:eastAsia="宋体" w:cs="宋体"/>
          <w:szCs w:val="24"/>
        </w:rPr>
        <w:t>日  期：</w:t>
      </w:r>
      <w:bookmarkEnd w:id="23"/>
    </w:p>
    <w:sectPr>
      <w:headerReference r:id="rId7" w:type="default"/>
      <w:footerReference r:id="rId8" w:type="default"/>
      <w:pgSz w:w="11906" w:h="16838"/>
      <w:pgMar w:top="1418" w:right="1418" w:bottom="1418" w:left="1701" w:header="851" w:footer="992" w:gutter="0"/>
      <w:cols w:space="425" w:num="1"/>
      <w:titlePg/>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90" w:firstLineChars="50"/>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t>11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1"/>
        <w:szCs w:val="21"/>
      </w:rPr>
      <w:id w:val="1236827657"/>
    </w:sdtPr>
    <w:sdtEndPr>
      <w:rPr>
        <w:rFonts w:ascii="仿宋" w:hAnsi="仿宋" w:eastAsia="仿宋"/>
        <w:sz w:val="21"/>
        <w:szCs w:val="21"/>
      </w:rPr>
    </w:sdtEndPr>
    <w:sdtContent>
      <w:sdt>
        <w:sdtPr>
          <w:rPr>
            <w:rFonts w:ascii="仿宋" w:hAnsi="仿宋" w:eastAsia="仿宋"/>
            <w:sz w:val="21"/>
            <w:szCs w:val="21"/>
          </w:rPr>
          <w:id w:val="98381352"/>
        </w:sdtPr>
        <w:sdtEndPr>
          <w:rPr>
            <w:rFonts w:ascii="仿宋" w:hAnsi="仿宋" w:eastAsia="仿宋"/>
            <w:sz w:val="21"/>
            <w:szCs w:val="21"/>
          </w:rPr>
        </w:sdtEndPr>
        <w:sdtContent>
          <w:p>
            <w:pPr>
              <w:pStyle w:val="12"/>
              <w:jc w:val="center"/>
              <w:rPr>
                <w:rFonts w:ascii="仿宋" w:hAnsi="仿宋" w:eastAsia="仿宋"/>
                <w:sz w:val="21"/>
                <w:szCs w:val="21"/>
              </w:rPr>
            </w:pPr>
            <w:r>
              <w:rPr>
                <w:rFonts w:ascii="仿宋" w:hAnsi="仿宋" w:eastAsia="仿宋"/>
                <w:bCs/>
                <w:sz w:val="21"/>
                <w:szCs w:val="21"/>
              </w:rPr>
              <w:fldChar w:fldCharType="begin"/>
            </w:r>
            <w:r>
              <w:rPr>
                <w:rFonts w:ascii="仿宋" w:hAnsi="仿宋" w:eastAsia="仿宋"/>
                <w:bCs/>
                <w:sz w:val="21"/>
                <w:szCs w:val="21"/>
              </w:rPr>
              <w:instrText xml:space="preserve">PAGE</w:instrText>
            </w:r>
            <w:r>
              <w:rPr>
                <w:rFonts w:ascii="仿宋" w:hAnsi="仿宋" w:eastAsia="仿宋"/>
                <w:bCs/>
                <w:sz w:val="21"/>
                <w:szCs w:val="21"/>
              </w:rPr>
              <w:fldChar w:fldCharType="separate"/>
            </w:r>
            <w:r>
              <w:rPr>
                <w:rFonts w:ascii="仿宋" w:hAnsi="仿宋" w:eastAsia="仿宋"/>
                <w:bCs/>
                <w:sz w:val="21"/>
                <w:szCs w:val="21"/>
              </w:rPr>
              <w:t>34</w:t>
            </w:r>
            <w:r>
              <w:rPr>
                <w:rFonts w:ascii="仿宋" w:hAnsi="仿宋" w:eastAsia="仿宋"/>
                <w:bCs/>
                <w:sz w:val="21"/>
                <w:szCs w:val="21"/>
              </w:rPr>
              <w:fldChar w:fldCharType="end"/>
            </w:r>
            <w:r>
              <w:rPr>
                <w:rFonts w:ascii="仿宋" w:hAnsi="仿宋" w:eastAsia="仿宋"/>
                <w:sz w:val="21"/>
                <w:szCs w:val="21"/>
                <w:lang w:val="zh-CN"/>
              </w:rPr>
              <w:t xml:space="preserve"> / </w:t>
            </w:r>
            <w:r>
              <w:rPr>
                <w:rFonts w:ascii="仿宋" w:hAnsi="仿宋" w:eastAsia="仿宋"/>
                <w:bCs/>
                <w:sz w:val="21"/>
                <w:szCs w:val="21"/>
              </w:rPr>
              <w:fldChar w:fldCharType="begin"/>
            </w:r>
            <w:r>
              <w:rPr>
                <w:rFonts w:ascii="仿宋" w:hAnsi="仿宋" w:eastAsia="仿宋"/>
                <w:bCs/>
                <w:sz w:val="21"/>
                <w:szCs w:val="21"/>
              </w:rPr>
              <w:instrText xml:space="preserve">NUMPAGES</w:instrText>
            </w:r>
            <w:r>
              <w:rPr>
                <w:rFonts w:ascii="仿宋" w:hAnsi="仿宋" w:eastAsia="仿宋"/>
                <w:bCs/>
                <w:sz w:val="21"/>
                <w:szCs w:val="21"/>
              </w:rPr>
              <w:fldChar w:fldCharType="separate"/>
            </w:r>
            <w:r>
              <w:rPr>
                <w:rFonts w:ascii="仿宋" w:hAnsi="仿宋" w:eastAsia="仿宋"/>
                <w:bCs/>
                <w:sz w:val="21"/>
                <w:szCs w:val="21"/>
              </w:rPr>
              <w:t>34</w:t>
            </w:r>
            <w:r>
              <w:rPr>
                <w:rFonts w:ascii="仿宋" w:hAnsi="仿宋" w:eastAsia="仿宋"/>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04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04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displayHorizont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ZkNTRiYTI1MTY1NGZmNGMzNzYzMTkwMTRkNGE5OTYifQ=="/>
  </w:docVars>
  <w:rsids>
    <w:rsidRoot w:val="000E6F62"/>
    <w:rsid w:val="00004E97"/>
    <w:rsid w:val="00013918"/>
    <w:rsid w:val="00014E20"/>
    <w:rsid w:val="00015B78"/>
    <w:rsid w:val="00020E06"/>
    <w:rsid w:val="00022DCC"/>
    <w:rsid w:val="0003374E"/>
    <w:rsid w:val="00036BEA"/>
    <w:rsid w:val="00036F61"/>
    <w:rsid w:val="00040ADA"/>
    <w:rsid w:val="000474D9"/>
    <w:rsid w:val="00050DB4"/>
    <w:rsid w:val="000518D6"/>
    <w:rsid w:val="00055922"/>
    <w:rsid w:val="00063A5B"/>
    <w:rsid w:val="00063C87"/>
    <w:rsid w:val="00075A32"/>
    <w:rsid w:val="00080100"/>
    <w:rsid w:val="00082610"/>
    <w:rsid w:val="00086D68"/>
    <w:rsid w:val="0009178F"/>
    <w:rsid w:val="00096B3F"/>
    <w:rsid w:val="000A05EE"/>
    <w:rsid w:val="000A3992"/>
    <w:rsid w:val="000A416B"/>
    <w:rsid w:val="000B5552"/>
    <w:rsid w:val="000B5C05"/>
    <w:rsid w:val="000C5004"/>
    <w:rsid w:val="000D395B"/>
    <w:rsid w:val="000E0DB6"/>
    <w:rsid w:val="000E0E7A"/>
    <w:rsid w:val="000E6F62"/>
    <w:rsid w:val="000F4B3B"/>
    <w:rsid w:val="000F4D77"/>
    <w:rsid w:val="000F6D21"/>
    <w:rsid w:val="00105E58"/>
    <w:rsid w:val="00106242"/>
    <w:rsid w:val="0011100F"/>
    <w:rsid w:val="001113EE"/>
    <w:rsid w:val="00111BCB"/>
    <w:rsid w:val="0011268C"/>
    <w:rsid w:val="00112E94"/>
    <w:rsid w:val="0011414A"/>
    <w:rsid w:val="00124729"/>
    <w:rsid w:val="001336FE"/>
    <w:rsid w:val="001370AA"/>
    <w:rsid w:val="00142439"/>
    <w:rsid w:val="001464D8"/>
    <w:rsid w:val="00150486"/>
    <w:rsid w:val="0015162F"/>
    <w:rsid w:val="001559F8"/>
    <w:rsid w:val="001666EB"/>
    <w:rsid w:val="00170854"/>
    <w:rsid w:val="001722E3"/>
    <w:rsid w:val="00174A37"/>
    <w:rsid w:val="00175215"/>
    <w:rsid w:val="00175C52"/>
    <w:rsid w:val="00177D2B"/>
    <w:rsid w:val="001822BA"/>
    <w:rsid w:val="001853E7"/>
    <w:rsid w:val="00185A07"/>
    <w:rsid w:val="001860DC"/>
    <w:rsid w:val="00191EAD"/>
    <w:rsid w:val="00192B1F"/>
    <w:rsid w:val="00197311"/>
    <w:rsid w:val="001A3364"/>
    <w:rsid w:val="001A4A71"/>
    <w:rsid w:val="001A4F4D"/>
    <w:rsid w:val="001B0CE9"/>
    <w:rsid w:val="001B11E9"/>
    <w:rsid w:val="001B1C4D"/>
    <w:rsid w:val="001B7885"/>
    <w:rsid w:val="001B7E64"/>
    <w:rsid w:val="001D5CFB"/>
    <w:rsid w:val="001D7463"/>
    <w:rsid w:val="001E66C7"/>
    <w:rsid w:val="001E7C03"/>
    <w:rsid w:val="00201184"/>
    <w:rsid w:val="00204702"/>
    <w:rsid w:val="00210990"/>
    <w:rsid w:val="00220170"/>
    <w:rsid w:val="00221D85"/>
    <w:rsid w:val="00222FBA"/>
    <w:rsid w:val="00225C7D"/>
    <w:rsid w:val="002273FD"/>
    <w:rsid w:val="0023042F"/>
    <w:rsid w:val="00232F01"/>
    <w:rsid w:val="00233560"/>
    <w:rsid w:val="00233FE1"/>
    <w:rsid w:val="00237A2D"/>
    <w:rsid w:val="00240B0D"/>
    <w:rsid w:val="002429D0"/>
    <w:rsid w:val="0024599D"/>
    <w:rsid w:val="00261194"/>
    <w:rsid w:val="00265524"/>
    <w:rsid w:val="00265FCF"/>
    <w:rsid w:val="002747B9"/>
    <w:rsid w:val="00275FC1"/>
    <w:rsid w:val="00277908"/>
    <w:rsid w:val="0028127F"/>
    <w:rsid w:val="002820A5"/>
    <w:rsid w:val="002834A0"/>
    <w:rsid w:val="0028408A"/>
    <w:rsid w:val="00286315"/>
    <w:rsid w:val="00297678"/>
    <w:rsid w:val="002A0E45"/>
    <w:rsid w:val="002D014C"/>
    <w:rsid w:val="002D0159"/>
    <w:rsid w:val="002D308A"/>
    <w:rsid w:val="002E1561"/>
    <w:rsid w:val="002E71EE"/>
    <w:rsid w:val="003038AA"/>
    <w:rsid w:val="00306363"/>
    <w:rsid w:val="00307902"/>
    <w:rsid w:val="0031651E"/>
    <w:rsid w:val="00317E31"/>
    <w:rsid w:val="00320D57"/>
    <w:rsid w:val="00324B9A"/>
    <w:rsid w:val="00325C54"/>
    <w:rsid w:val="00326203"/>
    <w:rsid w:val="00334A5A"/>
    <w:rsid w:val="00334DA9"/>
    <w:rsid w:val="0036139F"/>
    <w:rsid w:val="0036715D"/>
    <w:rsid w:val="003700F4"/>
    <w:rsid w:val="00372164"/>
    <w:rsid w:val="00374C1B"/>
    <w:rsid w:val="003759EC"/>
    <w:rsid w:val="00375B89"/>
    <w:rsid w:val="00377622"/>
    <w:rsid w:val="003862A9"/>
    <w:rsid w:val="00392718"/>
    <w:rsid w:val="00392ADA"/>
    <w:rsid w:val="00392E5B"/>
    <w:rsid w:val="003930C1"/>
    <w:rsid w:val="003A6A4F"/>
    <w:rsid w:val="003B4D50"/>
    <w:rsid w:val="003B5E4D"/>
    <w:rsid w:val="003C6652"/>
    <w:rsid w:val="003C7835"/>
    <w:rsid w:val="003D594B"/>
    <w:rsid w:val="003F083D"/>
    <w:rsid w:val="00401F5D"/>
    <w:rsid w:val="00407863"/>
    <w:rsid w:val="004135A5"/>
    <w:rsid w:val="00416009"/>
    <w:rsid w:val="004164E4"/>
    <w:rsid w:val="004204C9"/>
    <w:rsid w:val="00421B7B"/>
    <w:rsid w:val="00423225"/>
    <w:rsid w:val="004341FD"/>
    <w:rsid w:val="00434385"/>
    <w:rsid w:val="004437C6"/>
    <w:rsid w:val="00443B99"/>
    <w:rsid w:val="004601D7"/>
    <w:rsid w:val="00465A03"/>
    <w:rsid w:val="00467212"/>
    <w:rsid w:val="004721D5"/>
    <w:rsid w:val="00476E76"/>
    <w:rsid w:val="00476F77"/>
    <w:rsid w:val="00486452"/>
    <w:rsid w:val="00494F68"/>
    <w:rsid w:val="004A115E"/>
    <w:rsid w:val="004A511A"/>
    <w:rsid w:val="004A557C"/>
    <w:rsid w:val="004A648D"/>
    <w:rsid w:val="004B06C2"/>
    <w:rsid w:val="004B37AE"/>
    <w:rsid w:val="004B622B"/>
    <w:rsid w:val="004D14F1"/>
    <w:rsid w:val="004D2635"/>
    <w:rsid w:val="004D469A"/>
    <w:rsid w:val="004D4E65"/>
    <w:rsid w:val="004D6C61"/>
    <w:rsid w:val="004E1EB9"/>
    <w:rsid w:val="004E28E0"/>
    <w:rsid w:val="004E3AB1"/>
    <w:rsid w:val="004E42DF"/>
    <w:rsid w:val="004E58DC"/>
    <w:rsid w:val="004E5B84"/>
    <w:rsid w:val="004F2EAC"/>
    <w:rsid w:val="004F3062"/>
    <w:rsid w:val="004F4C67"/>
    <w:rsid w:val="00503209"/>
    <w:rsid w:val="00505F22"/>
    <w:rsid w:val="0051378A"/>
    <w:rsid w:val="005201FA"/>
    <w:rsid w:val="00524FB0"/>
    <w:rsid w:val="00527624"/>
    <w:rsid w:val="00532A6C"/>
    <w:rsid w:val="005424AE"/>
    <w:rsid w:val="005444C5"/>
    <w:rsid w:val="00544B8F"/>
    <w:rsid w:val="00546F31"/>
    <w:rsid w:val="005653B6"/>
    <w:rsid w:val="00566096"/>
    <w:rsid w:val="0057011D"/>
    <w:rsid w:val="00571081"/>
    <w:rsid w:val="00572285"/>
    <w:rsid w:val="00572EBD"/>
    <w:rsid w:val="0057483E"/>
    <w:rsid w:val="00577F45"/>
    <w:rsid w:val="00587C6A"/>
    <w:rsid w:val="00591B9F"/>
    <w:rsid w:val="005930C7"/>
    <w:rsid w:val="005A1859"/>
    <w:rsid w:val="005A5307"/>
    <w:rsid w:val="005A6FA6"/>
    <w:rsid w:val="005B7637"/>
    <w:rsid w:val="005C0B6A"/>
    <w:rsid w:val="005C28A8"/>
    <w:rsid w:val="005F375E"/>
    <w:rsid w:val="005F5707"/>
    <w:rsid w:val="006012FB"/>
    <w:rsid w:val="006016D7"/>
    <w:rsid w:val="00602E78"/>
    <w:rsid w:val="00605498"/>
    <w:rsid w:val="00607375"/>
    <w:rsid w:val="00614E51"/>
    <w:rsid w:val="00615533"/>
    <w:rsid w:val="006213BD"/>
    <w:rsid w:val="00621708"/>
    <w:rsid w:val="00622680"/>
    <w:rsid w:val="00622E05"/>
    <w:rsid w:val="006236FA"/>
    <w:rsid w:val="00626E09"/>
    <w:rsid w:val="00627DE4"/>
    <w:rsid w:val="00630181"/>
    <w:rsid w:val="00631C94"/>
    <w:rsid w:val="0063267B"/>
    <w:rsid w:val="0063654D"/>
    <w:rsid w:val="00643D29"/>
    <w:rsid w:val="006448DA"/>
    <w:rsid w:val="00646012"/>
    <w:rsid w:val="006572DD"/>
    <w:rsid w:val="006640AB"/>
    <w:rsid w:val="0067446B"/>
    <w:rsid w:val="00687070"/>
    <w:rsid w:val="00692F88"/>
    <w:rsid w:val="006A0827"/>
    <w:rsid w:val="006A0CDD"/>
    <w:rsid w:val="006B061A"/>
    <w:rsid w:val="006B1D46"/>
    <w:rsid w:val="006B459C"/>
    <w:rsid w:val="006B5DEC"/>
    <w:rsid w:val="006C48CE"/>
    <w:rsid w:val="006C5575"/>
    <w:rsid w:val="006D1996"/>
    <w:rsid w:val="006D35DA"/>
    <w:rsid w:val="006E40D5"/>
    <w:rsid w:val="006E74B3"/>
    <w:rsid w:val="006F5CD4"/>
    <w:rsid w:val="007000B1"/>
    <w:rsid w:val="007110F4"/>
    <w:rsid w:val="0071219F"/>
    <w:rsid w:val="007178A7"/>
    <w:rsid w:val="00720646"/>
    <w:rsid w:val="00732C6B"/>
    <w:rsid w:val="007339D9"/>
    <w:rsid w:val="007359E8"/>
    <w:rsid w:val="007534E0"/>
    <w:rsid w:val="00764502"/>
    <w:rsid w:val="00766B5B"/>
    <w:rsid w:val="00766BD1"/>
    <w:rsid w:val="00770F07"/>
    <w:rsid w:val="007724B6"/>
    <w:rsid w:val="00773F66"/>
    <w:rsid w:val="00780216"/>
    <w:rsid w:val="007840C5"/>
    <w:rsid w:val="00784D05"/>
    <w:rsid w:val="00784F04"/>
    <w:rsid w:val="0078613B"/>
    <w:rsid w:val="00796C7D"/>
    <w:rsid w:val="007B0005"/>
    <w:rsid w:val="007B1811"/>
    <w:rsid w:val="007B1CB4"/>
    <w:rsid w:val="007B6089"/>
    <w:rsid w:val="007B60F4"/>
    <w:rsid w:val="007C4CC9"/>
    <w:rsid w:val="007C6FC1"/>
    <w:rsid w:val="007D0FC1"/>
    <w:rsid w:val="007D5B83"/>
    <w:rsid w:val="007E4A5E"/>
    <w:rsid w:val="007E5588"/>
    <w:rsid w:val="007F26AD"/>
    <w:rsid w:val="00801B1B"/>
    <w:rsid w:val="008060E0"/>
    <w:rsid w:val="008067BF"/>
    <w:rsid w:val="00806DAE"/>
    <w:rsid w:val="0080763E"/>
    <w:rsid w:val="00815013"/>
    <w:rsid w:val="0082443B"/>
    <w:rsid w:val="00825190"/>
    <w:rsid w:val="0082531E"/>
    <w:rsid w:val="00825F9F"/>
    <w:rsid w:val="008276FC"/>
    <w:rsid w:val="00832450"/>
    <w:rsid w:val="008330D5"/>
    <w:rsid w:val="00833518"/>
    <w:rsid w:val="0083614F"/>
    <w:rsid w:val="00840012"/>
    <w:rsid w:val="00840666"/>
    <w:rsid w:val="008409BF"/>
    <w:rsid w:val="00841747"/>
    <w:rsid w:val="00845517"/>
    <w:rsid w:val="00851E94"/>
    <w:rsid w:val="0085212C"/>
    <w:rsid w:val="0085695B"/>
    <w:rsid w:val="00861D60"/>
    <w:rsid w:val="008655BD"/>
    <w:rsid w:val="00876A9D"/>
    <w:rsid w:val="00886594"/>
    <w:rsid w:val="00890951"/>
    <w:rsid w:val="0089454B"/>
    <w:rsid w:val="0089647F"/>
    <w:rsid w:val="008A7857"/>
    <w:rsid w:val="008B73FE"/>
    <w:rsid w:val="008B78D5"/>
    <w:rsid w:val="008B7CC2"/>
    <w:rsid w:val="008C08B8"/>
    <w:rsid w:val="008C0963"/>
    <w:rsid w:val="008C360B"/>
    <w:rsid w:val="008C38D2"/>
    <w:rsid w:val="008D09DA"/>
    <w:rsid w:val="008D341F"/>
    <w:rsid w:val="008D52CF"/>
    <w:rsid w:val="008D7CB2"/>
    <w:rsid w:val="008E04EE"/>
    <w:rsid w:val="008E30C1"/>
    <w:rsid w:val="008F30BA"/>
    <w:rsid w:val="008F42B5"/>
    <w:rsid w:val="008F70DC"/>
    <w:rsid w:val="009016E1"/>
    <w:rsid w:val="009041D2"/>
    <w:rsid w:val="00905A84"/>
    <w:rsid w:val="00906406"/>
    <w:rsid w:val="00912166"/>
    <w:rsid w:val="00916B05"/>
    <w:rsid w:val="00916FBE"/>
    <w:rsid w:val="00920ECD"/>
    <w:rsid w:val="009230CB"/>
    <w:rsid w:val="00926A3E"/>
    <w:rsid w:val="0093054F"/>
    <w:rsid w:val="00930B8B"/>
    <w:rsid w:val="0093210B"/>
    <w:rsid w:val="0093389D"/>
    <w:rsid w:val="009357AD"/>
    <w:rsid w:val="0094149A"/>
    <w:rsid w:val="00944270"/>
    <w:rsid w:val="00944681"/>
    <w:rsid w:val="00945F3E"/>
    <w:rsid w:val="00952CA9"/>
    <w:rsid w:val="0095762F"/>
    <w:rsid w:val="00962C82"/>
    <w:rsid w:val="00962E3F"/>
    <w:rsid w:val="00965568"/>
    <w:rsid w:val="00966135"/>
    <w:rsid w:val="00966262"/>
    <w:rsid w:val="00972725"/>
    <w:rsid w:val="00973C37"/>
    <w:rsid w:val="00973E6E"/>
    <w:rsid w:val="00975CF3"/>
    <w:rsid w:val="00977A6B"/>
    <w:rsid w:val="00983FC8"/>
    <w:rsid w:val="00992E70"/>
    <w:rsid w:val="00993655"/>
    <w:rsid w:val="009A16A2"/>
    <w:rsid w:val="009A371A"/>
    <w:rsid w:val="009A4B22"/>
    <w:rsid w:val="009A7E50"/>
    <w:rsid w:val="009B2BFF"/>
    <w:rsid w:val="009B348E"/>
    <w:rsid w:val="009B5CF0"/>
    <w:rsid w:val="009B68CF"/>
    <w:rsid w:val="009C69B8"/>
    <w:rsid w:val="009D0385"/>
    <w:rsid w:val="009D2F43"/>
    <w:rsid w:val="009E665C"/>
    <w:rsid w:val="009E7236"/>
    <w:rsid w:val="009F0D3B"/>
    <w:rsid w:val="009F61B1"/>
    <w:rsid w:val="009F6CF6"/>
    <w:rsid w:val="00A005C3"/>
    <w:rsid w:val="00A06083"/>
    <w:rsid w:val="00A159DA"/>
    <w:rsid w:val="00A260C2"/>
    <w:rsid w:val="00A30819"/>
    <w:rsid w:val="00A32BC0"/>
    <w:rsid w:val="00A34E21"/>
    <w:rsid w:val="00A40A09"/>
    <w:rsid w:val="00A41166"/>
    <w:rsid w:val="00A474C0"/>
    <w:rsid w:val="00A5409D"/>
    <w:rsid w:val="00A63D4B"/>
    <w:rsid w:val="00A73630"/>
    <w:rsid w:val="00A74AD2"/>
    <w:rsid w:val="00A77047"/>
    <w:rsid w:val="00A77C58"/>
    <w:rsid w:val="00A85D78"/>
    <w:rsid w:val="00A85EB1"/>
    <w:rsid w:val="00A92D91"/>
    <w:rsid w:val="00AA34C3"/>
    <w:rsid w:val="00AA3856"/>
    <w:rsid w:val="00AA5031"/>
    <w:rsid w:val="00AA5C2F"/>
    <w:rsid w:val="00AC20D0"/>
    <w:rsid w:val="00AC24F3"/>
    <w:rsid w:val="00AC27FF"/>
    <w:rsid w:val="00AD1B36"/>
    <w:rsid w:val="00AD2877"/>
    <w:rsid w:val="00AE3B68"/>
    <w:rsid w:val="00AF4143"/>
    <w:rsid w:val="00AF453F"/>
    <w:rsid w:val="00B006CF"/>
    <w:rsid w:val="00B14810"/>
    <w:rsid w:val="00B23EE5"/>
    <w:rsid w:val="00B323E2"/>
    <w:rsid w:val="00B42376"/>
    <w:rsid w:val="00B51543"/>
    <w:rsid w:val="00B52A83"/>
    <w:rsid w:val="00B56583"/>
    <w:rsid w:val="00B62B02"/>
    <w:rsid w:val="00B65BE8"/>
    <w:rsid w:val="00B723D4"/>
    <w:rsid w:val="00B7559A"/>
    <w:rsid w:val="00B759DA"/>
    <w:rsid w:val="00B7683F"/>
    <w:rsid w:val="00B80378"/>
    <w:rsid w:val="00B85201"/>
    <w:rsid w:val="00B856AD"/>
    <w:rsid w:val="00B87398"/>
    <w:rsid w:val="00B91C5D"/>
    <w:rsid w:val="00B93545"/>
    <w:rsid w:val="00B95987"/>
    <w:rsid w:val="00BA3116"/>
    <w:rsid w:val="00BA3CDB"/>
    <w:rsid w:val="00BB1DAA"/>
    <w:rsid w:val="00BB2C6E"/>
    <w:rsid w:val="00BC0523"/>
    <w:rsid w:val="00BC3426"/>
    <w:rsid w:val="00BC355B"/>
    <w:rsid w:val="00BD1D4D"/>
    <w:rsid w:val="00BE1290"/>
    <w:rsid w:val="00BE5B33"/>
    <w:rsid w:val="00BF05BF"/>
    <w:rsid w:val="00BF166A"/>
    <w:rsid w:val="00BF500D"/>
    <w:rsid w:val="00C00B68"/>
    <w:rsid w:val="00C03114"/>
    <w:rsid w:val="00C045CA"/>
    <w:rsid w:val="00C050B0"/>
    <w:rsid w:val="00C05CA8"/>
    <w:rsid w:val="00C123DF"/>
    <w:rsid w:val="00C17978"/>
    <w:rsid w:val="00C2003F"/>
    <w:rsid w:val="00C2030A"/>
    <w:rsid w:val="00C208FF"/>
    <w:rsid w:val="00C2144B"/>
    <w:rsid w:val="00C22965"/>
    <w:rsid w:val="00C2456B"/>
    <w:rsid w:val="00C2690F"/>
    <w:rsid w:val="00C27C00"/>
    <w:rsid w:val="00C347B5"/>
    <w:rsid w:val="00C347D6"/>
    <w:rsid w:val="00C35588"/>
    <w:rsid w:val="00C36631"/>
    <w:rsid w:val="00C369CB"/>
    <w:rsid w:val="00C42032"/>
    <w:rsid w:val="00C4244E"/>
    <w:rsid w:val="00C4621D"/>
    <w:rsid w:val="00C46DB2"/>
    <w:rsid w:val="00C50F2E"/>
    <w:rsid w:val="00C556B3"/>
    <w:rsid w:val="00C5781A"/>
    <w:rsid w:val="00C57862"/>
    <w:rsid w:val="00C65550"/>
    <w:rsid w:val="00C70F8C"/>
    <w:rsid w:val="00C7194C"/>
    <w:rsid w:val="00C71BD0"/>
    <w:rsid w:val="00C755C7"/>
    <w:rsid w:val="00C76506"/>
    <w:rsid w:val="00C7682D"/>
    <w:rsid w:val="00C76895"/>
    <w:rsid w:val="00C83F63"/>
    <w:rsid w:val="00C90CDB"/>
    <w:rsid w:val="00C93FFC"/>
    <w:rsid w:val="00C962B3"/>
    <w:rsid w:val="00CA03F1"/>
    <w:rsid w:val="00CA1D43"/>
    <w:rsid w:val="00CA72A2"/>
    <w:rsid w:val="00CC3F4A"/>
    <w:rsid w:val="00CD3863"/>
    <w:rsid w:val="00CD5E46"/>
    <w:rsid w:val="00CE3789"/>
    <w:rsid w:val="00CE61D9"/>
    <w:rsid w:val="00CE7AEA"/>
    <w:rsid w:val="00CF18D8"/>
    <w:rsid w:val="00CF2678"/>
    <w:rsid w:val="00CF712B"/>
    <w:rsid w:val="00D01815"/>
    <w:rsid w:val="00D20998"/>
    <w:rsid w:val="00D21059"/>
    <w:rsid w:val="00D22D8E"/>
    <w:rsid w:val="00D24294"/>
    <w:rsid w:val="00D25F12"/>
    <w:rsid w:val="00D3420C"/>
    <w:rsid w:val="00D353F6"/>
    <w:rsid w:val="00D36AE4"/>
    <w:rsid w:val="00D3775B"/>
    <w:rsid w:val="00D41D56"/>
    <w:rsid w:val="00D4464A"/>
    <w:rsid w:val="00D45E59"/>
    <w:rsid w:val="00D521BB"/>
    <w:rsid w:val="00D54AAA"/>
    <w:rsid w:val="00D54EF4"/>
    <w:rsid w:val="00D60AA1"/>
    <w:rsid w:val="00D70520"/>
    <w:rsid w:val="00D73179"/>
    <w:rsid w:val="00D81B6A"/>
    <w:rsid w:val="00D824E8"/>
    <w:rsid w:val="00D86AE0"/>
    <w:rsid w:val="00D9248C"/>
    <w:rsid w:val="00D93712"/>
    <w:rsid w:val="00DA1234"/>
    <w:rsid w:val="00DA1D24"/>
    <w:rsid w:val="00DA317F"/>
    <w:rsid w:val="00DA5B97"/>
    <w:rsid w:val="00DB734A"/>
    <w:rsid w:val="00DC0343"/>
    <w:rsid w:val="00DC541D"/>
    <w:rsid w:val="00DC7D58"/>
    <w:rsid w:val="00DD0607"/>
    <w:rsid w:val="00DD3DA2"/>
    <w:rsid w:val="00DD7796"/>
    <w:rsid w:val="00DE54C8"/>
    <w:rsid w:val="00E037E0"/>
    <w:rsid w:val="00E10A9C"/>
    <w:rsid w:val="00E10AFB"/>
    <w:rsid w:val="00E11AB2"/>
    <w:rsid w:val="00E21667"/>
    <w:rsid w:val="00E3262A"/>
    <w:rsid w:val="00E33F48"/>
    <w:rsid w:val="00E35B07"/>
    <w:rsid w:val="00E35B28"/>
    <w:rsid w:val="00E430B6"/>
    <w:rsid w:val="00E4357C"/>
    <w:rsid w:val="00E446C7"/>
    <w:rsid w:val="00E465D5"/>
    <w:rsid w:val="00E51437"/>
    <w:rsid w:val="00E514F0"/>
    <w:rsid w:val="00E624C6"/>
    <w:rsid w:val="00E66C5A"/>
    <w:rsid w:val="00E70608"/>
    <w:rsid w:val="00E8608B"/>
    <w:rsid w:val="00E8651D"/>
    <w:rsid w:val="00E875F2"/>
    <w:rsid w:val="00E905AA"/>
    <w:rsid w:val="00E91607"/>
    <w:rsid w:val="00EA0A32"/>
    <w:rsid w:val="00EA497F"/>
    <w:rsid w:val="00EA6076"/>
    <w:rsid w:val="00EB47C4"/>
    <w:rsid w:val="00EB5564"/>
    <w:rsid w:val="00EC318E"/>
    <w:rsid w:val="00EC3BD0"/>
    <w:rsid w:val="00ED01CB"/>
    <w:rsid w:val="00ED0B56"/>
    <w:rsid w:val="00ED43E6"/>
    <w:rsid w:val="00ED7744"/>
    <w:rsid w:val="00EE09A7"/>
    <w:rsid w:val="00F001C9"/>
    <w:rsid w:val="00F0621B"/>
    <w:rsid w:val="00F069EF"/>
    <w:rsid w:val="00F07319"/>
    <w:rsid w:val="00F1472B"/>
    <w:rsid w:val="00F15F1E"/>
    <w:rsid w:val="00F1649A"/>
    <w:rsid w:val="00F16D99"/>
    <w:rsid w:val="00F24AE3"/>
    <w:rsid w:val="00F2782A"/>
    <w:rsid w:val="00F45989"/>
    <w:rsid w:val="00F46BB2"/>
    <w:rsid w:val="00F47367"/>
    <w:rsid w:val="00F568BF"/>
    <w:rsid w:val="00F61659"/>
    <w:rsid w:val="00F61926"/>
    <w:rsid w:val="00F62179"/>
    <w:rsid w:val="00F670AF"/>
    <w:rsid w:val="00F70EDC"/>
    <w:rsid w:val="00F730BB"/>
    <w:rsid w:val="00F82743"/>
    <w:rsid w:val="00FA6B40"/>
    <w:rsid w:val="00FB01ED"/>
    <w:rsid w:val="00FB158B"/>
    <w:rsid w:val="00FB338C"/>
    <w:rsid w:val="00FC5BF0"/>
    <w:rsid w:val="00FC6093"/>
    <w:rsid w:val="00FC7C14"/>
    <w:rsid w:val="00FC7C5B"/>
    <w:rsid w:val="00FD1210"/>
    <w:rsid w:val="00FD255B"/>
    <w:rsid w:val="00FD3D04"/>
    <w:rsid w:val="00FD423D"/>
    <w:rsid w:val="00FD61D3"/>
    <w:rsid w:val="00FE2F3B"/>
    <w:rsid w:val="00FE31DF"/>
    <w:rsid w:val="00FE5C97"/>
    <w:rsid w:val="00FF03ED"/>
    <w:rsid w:val="00FF1D6C"/>
    <w:rsid w:val="00FF43D9"/>
    <w:rsid w:val="00FF4988"/>
    <w:rsid w:val="01A1354A"/>
    <w:rsid w:val="03F743E0"/>
    <w:rsid w:val="05953DEF"/>
    <w:rsid w:val="0A9214D3"/>
    <w:rsid w:val="0B3B1986"/>
    <w:rsid w:val="1D4513D1"/>
    <w:rsid w:val="213F430D"/>
    <w:rsid w:val="267B32AF"/>
    <w:rsid w:val="29640B3D"/>
    <w:rsid w:val="2E434FF4"/>
    <w:rsid w:val="34FE08F1"/>
    <w:rsid w:val="3E2401DF"/>
    <w:rsid w:val="4A74217B"/>
    <w:rsid w:val="52745E37"/>
    <w:rsid w:val="52A54C93"/>
    <w:rsid w:val="53157F3E"/>
    <w:rsid w:val="53D74950"/>
    <w:rsid w:val="550F6770"/>
    <w:rsid w:val="5A3706B2"/>
    <w:rsid w:val="5C672CC6"/>
    <w:rsid w:val="64D43A01"/>
    <w:rsid w:val="65856A85"/>
    <w:rsid w:val="6ADD5139"/>
    <w:rsid w:val="6F4B31F0"/>
    <w:rsid w:val="6F794A83"/>
    <w:rsid w:val="6FD33400"/>
    <w:rsid w:val="726A385A"/>
    <w:rsid w:val="73395F89"/>
    <w:rsid w:val="7A3F7202"/>
    <w:rsid w:val="7CC43CC7"/>
    <w:rsid w:val="7D9B19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5">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8"/>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8">
    <w:name w:val="Normal Indent"/>
    <w:basedOn w:val="1"/>
    <w:link w:val="31"/>
    <w:qFormat/>
    <w:uiPriority w:val="0"/>
    <w:pPr>
      <w:ind w:firstLine="420"/>
    </w:pPr>
  </w:style>
  <w:style w:type="paragraph" w:styleId="9">
    <w:name w:val="annotation text"/>
    <w:basedOn w:val="1"/>
    <w:link w:val="37"/>
    <w:qFormat/>
    <w:uiPriority w:val="0"/>
    <w:pPr>
      <w:jc w:val="left"/>
    </w:pPr>
    <w:rPr>
      <w:rFonts w:ascii="Calibri" w:hAnsi="Calibri" w:eastAsia="宋体" w:cs="Times New Roman"/>
      <w:szCs w:val="24"/>
    </w:rPr>
  </w:style>
  <w:style w:type="paragraph" w:styleId="10">
    <w:name w:val="Body Text"/>
    <w:basedOn w:val="1"/>
    <w:link w:val="33"/>
    <w:qFormat/>
    <w:uiPriority w:val="1"/>
    <w:pPr>
      <w:ind w:left="102"/>
    </w:pPr>
    <w:rPr>
      <w:rFonts w:ascii="仿宋" w:hAnsi="仿宋" w:eastAsia="仿宋"/>
      <w:sz w:val="28"/>
      <w:szCs w:val="28"/>
    </w:rPr>
  </w:style>
  <w:style w:type="paragraph" w:styleId="11">
    <w:name w:val="Balloon Text"/>
    <w:basedOn w:val="1"/>
    <w:link w:val="29"/>
    <w:semiHidden/>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adjustRightInd w:val="0"/>
      <w:spacing w:line="312" w:lineRule="atLeast"/>
      <w:jc w:val="left"/>
      <w:textAlignment w:val="baseline"/>
    </w:pPr>
    <w:rPr>
      <w:rFonts w:ascii="Times New Roman" w:hAnsi="Times New Roman"/>
      <w:sz w:val="18"/>
    </w:rPr>
  </w:style>
  <w:style w:type="paragraph" w:styleId="15">
    <w:name w:val="Normal (Web)"/>
    <w:basedOn w:val="1"/>
    <w:qFormat/>
    <w:uiPriority w:val="0"/>
    <w:pPr>
      <w:spacing w:beforeAutospacing="1" w:afterAutospacing="1"/>
      <w:jc w:val="left"/>
    </w:pPr>
    <w:rPr>
      <w:rFonts w:cs="Times New Roman"/>
      <w:kern w:val="0"/>
      <w:szCs w:val="24"/>
    </w:rPr>
  </w:style>
  <w:style w:type="table" w:styleId="17">
    <w:name w:val="Table Grid"/>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annotation reference"/>
    <w:qFormat/>
    <w:uiPriority w:val="0"/>
    <w:rPr>
      <w:sz w:val="21"/>
      <w:szCs w:val="21"/>
    </w:rPr>
  </w:style>
  <w:style w:type="character" w:customStyle="1" w:styleId="20">
    <w:name w:val="标题 1 Char"/>
    <w:basedOn w:val="18"/>
    <w:link w:val="5"/>
    <w:qFormat/>
    <w:uiPriority w:val="9"/>
    <w:rPr>
      <w:b/>
      <w:bCs/>
      <w:kern w:val="44"/>
      <w:sz w:val="44"/>
      <w:szCs w:val="44"/>
    </w:rPr>
  </w:style>
  <w:style w:type="table" w:customStyle="1" w:styleId="21">
    <w:name w:val="SGS Table Basic 11"/>
    <w:basedOn w:val="16"/>
    <w:qFormat/>
    <w:uiPriority w:val="0"/>
    <w:pPr>
      <w:ind w:left="709" w:hanging="709"/>
    </w:pPr>
    <w:rPr>
      <w:rFonts w:ascii="Arial" w:hAnsi="Arial" w:cs="Times New Roman"/>
      <w:lang w:val="en-GB"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pPr>
        <w:jc w:val="left"/>
      </w:pPr>
      <w:rPr>
        <w:color w:val="FF6600"/>
      </w:rPr>
      <w:tcPr>
        <w:tcBorders>
          <w:bottom w:val="single" w:color="363636" w:sz="12" w:space="0"/>
        </w:tcBorders>
      </w:tcPr>
    </w:tblStylePr>
  </w:style>
  <w:style w:type="character" w:customStyle="1" w:styleId="22">
    <w:name w:val="页眉 Char"/>
    <w:basedOn w:val="18"/>
    <w:link w:val="13"/>
    <w:qFormat/>
    <w:uiPriority w:val="99"/>
    <w:rPr>
      <w:sz w:val="18"/>
      <w:szCs w:val="18"/>
    </w:rPr>
  </w:style>
  <w:style w:type="character" w:customStyle="1" w:styleId="23">
    <w:name w:val="页脚 Char"/>
    <w:basedOn w:val="18"/>
    <w:link w:val="12"/>
    <w:qFormat/>
    <w:uiPriority w:val="99"/>
    <w:rPr>
      <w:sz w:val="18"/>
      <w:szCs w:val="18"/>
    </w:rPr>
  </w:style>
  <w:style w:type="character" w:customStyle="1" w:styleId="24">
    <w:name w:val="NormalCharacter"/>
    <w:qFormat/>
    <w:uiPriority w:val="0"/>
    <w:rPr>
      <w:kern w:val="2"/>
      <w:sz w:val="21"/>
      <w:szCs w:val="22"/>
      <w:lang w:val="en-US" w:eastAsia="zh-CN" w:bidi="ar-SA"/>
    </w:rPr>
  </w:style>
  <w:style w:type="paragraph" w:customStyle="1" w:styleId="25">
    <w:name w:val="列出段落1"/>
    <w:basedOn w:val="1"/>
    <w:qFormat/>
    <w:uiPriority w:val="0"/>
    <w:pPr>
      <w:ind w:firstLine="200" w:firstLineChars="200"/>
    </w:pPr>
    <w:rPr>
      <w:rFonts w:ascii="Calibri" w:hAnsi="Calibri" w:eastAsia="宋体" w:cs="Times New Roman"/>
    </w:rPr>
  </w:style>
  <w:style w:type="paragraph" w:styleId="26">
    <w:name w:val="List Paragraph"/>
    <w:basedOn w:val="1"/>
    <w:qFormat/>
    <w:uiPriority w:val="34"/>
    <w:pPr>
      <w:ind w:firstLine="420"/>
    </w:pPr>
    <w:rPr>
      <w:rFonts w:ascii="Calibri" w:hAnsi="Calibri" w:eastAsia="宋体" w:cs="Times New Roman"/>
      <w:szCs w:val="24"/>
    </w:rPr>
  </w:style>
  <w:style w:type="character" w:customStyle="1" w:styleId="27">
    <w:name w:val="标题 2 Char"/>
    <w:basedOn w:val="18"/>
    <w:link w:val="6"/>
    <w:qFormat/>
    <w:uiPriority w:val="0"/>
    <w:rPr>
      <w:rFonts w:asciiTheme="majorHAnsi" w:hAnsiTheme="majorHAnsi" w:eastAsiaTheme="majorEastAsia" w:cstheme="majorBidi"/>
      <w:b/>
      <w:bCs/>
      <w:sz w:val="32"/>
      <w:szCs w:val="32"/>
    </w:rPr>
  </w:style>
  <w:style w:type="character" w:customStyle="1" w:styleId="28">
    <w:name w:val="标题 3 Char"/>
    <w:basedOn w:val="18"/>
    <w:link w:val="7"/>
    <w:qFormat/>
    <w:uiPriority w:val="0"/>
    <w:rPr>
      <w:b/>
      <w:bCs/>
      <w:sz w:val="32"/>
      <w:szCs w:val="32"/>
    </w:rPr>
  </w:style>
  <w:style w:type="character" w:customStyle="1" w:styleId="29">
    <w:name w:val="批注框文本 Char"/>
    <w:basedOn w:val="18"/>
    <w:link w:val="11"/>
    <w:semiHidden/>
    <w:qFormat/>
    <w:uiPriority w:val="99"/>
    <w:rPr>
      <w:sz w:val="18"/>
      <w:szCs w:val="18"/>
    </w:rPr>
  </w:style>
  <w:style w:type="paragraph" w:customStyle="1" w:styleId="30">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31">
    <w:name w:val="正文缩进 Char"/>
    <w:link w:val="8"/>
    <w:qFormat/>
    <w:uiPriority w:val="0"/>
  </w:style>
  <w:style w:type="paragraph" w:customStyle="1" w:styleId="32">
    <w:name w:val="首行缩进"/>
    <w:basedOn w:val="1"/>
    <w:qFormat/>
    <w:uiPriority w:val="0"/>
    <w:pPr>
      <w:ind w:firstLine="480" w:firstLineChars="200"/>
    </w:pPr>
    <w:rPr>
      <w:rFonts w:ascii="Times New Roman" w:hAnsi="Times New Roman" w:eastAsia="宋体" w:cs="Times New Roman"/>
      <w:szCs w:val="20"/>
      <w:lang w:val="zh-CN"/>
    </w:rPr>
  </w:style>
  <w:style w:type="character" w:customStyle="1" w:styleId="33">
    <w:name w:val="正文文本 Char"/>
    <w:basedOn w:val="18"/>
    <w:link w:val="10"/>
    <w:qFormat/>
    <w:uiPriority w:val="1"/>
    <w:rPr>
      <w:rFonts w:ascii="仿宋" w:hAnsi="仿宋" w:eastAsia="仿宋"/>
      <w:sz w:val="28"/>
      <w:szCs w:val="28"/>
    </w:rPr>
  </w:style>
  <w:style w:type="paragraph" w:customStyle="1" w:styleId="34">
    <w:name w:val="正文1"/>
    <w:basedOn w:val="1"/>
    <w:qFormat/>
    <w:uiPriority w:val="0"/>
    <w:pPr>
      <w:ind w:firstLine="361"/>
    </w:pPr>
    <w:rPr>
      <w:rFonts w:ascii="宋体" w:hAnsi="宋体" w:eastAsia="宋体" w:cs="Times New Roman"/>
      <w:szCs w:val="24"/>
    </w:rPr>
  </w:style>
  <w:style w:type="character" w:customStyle="1" w:styleId="35">
    <w:name w:val="正文缩进2格 Char"/>
    <w:link w:val="36"/>
    <w:qFormat/>
    <w:locked/>
    <w:uiPriority w:val="0"/>
    <w:rPr>
      <w:rFonts w:ascii="仿宋_GB2312" w:hAnsi="宋体" w:eastAsia="仿宋_GB2312"/>
      <w:sz w:val="31"/>
      <w:szCs w:val="28"/>
    </w:rPr>
  </w:style>
  <w:style w:type="paragraph" w:customStyle="1" w:styleId="36">
    <w:name w:val="正文缩进2格"/>
    <w:basedOn w:val="1"/>
    <w:link w:val="35"/>
    <w:qFormat/>
    <w:uiPriority w:val="0"/>
    <w:pPr>
      <w:spacing w:line="600" w:lineRule="exact"/>
      <w:ind w:firstLine="639" w:firstLineChars="206"/>
    </w:pPr>
    <w:rPr>
      <w:rFonts w:ascii="仿宋_GB2312" w:hAnsi="宋体" w:eastAsia="仿宋_GB2312"/>
      <w:sz w:val="31"/>
      <w:szCs w:val="28"/>
    </w:rPr>
  </w:style>
  <w:style w:type="character" w:customStyle="1" w:styleId="37">
    <w:name w:val="批注文字 Char"/>
    <w:basedOn w:val="18"/>
    <w:link w:val="9"/>
    <w:qFormat/>
    <w:uiPriority w:val="0"/>
    <w:rPr>
      <w:rFonts w:ascii="Calibri" w:hAnsi="Calibri" w:eastAsia="宋体" w:cs="Times New Roman"/>
      <w:kern w:val="2"/>
      <w:sz w:val="21"/>
      <w:szCs w:val="24"/>
    </w:rPr>
  </w:style>
  <w:style w:type="paragraph" w:customStyle="1" w:styleId="38">
    <w:name w:val="纯文本1"/>
    <w:basedOn w:val="1"/>
    <w:qFormat/>
    <w:uiPriority w:val="0"/>
    <w:rPr>
      <w:rFonts w:ascii="宋体" w:hAnsi="Courier New" w:cs="Courier New"/>
      <w:sz w:val="21"/>
      <w:szCs w:val="21"/>
    </w:rPr>
  </w:style>
  <w:style w:type="paragraph" w:customStyle="1" w:styleId="39">
    <w:name w:val="图文"/>
    <w:basedOn w:val="1"/>
    <w:qFormat/>
    <w:uiPriority w:val="0"/>
    <w:pPr>
      <w:adjustRightInd w:val="0"/>
      <w:snapToGrid w:val="0"/>
      <w:spacing w:after="50"/>
    </w:pPr>
  </w:style>
  <w:style w:type="paragraph" w:customStyle="1" w:styleId="40">
    <w:name w:val="msonormalcxspmiddle"/>
    <w:basedOn w:val="1"/>
    <w:qFormat/>
    <w:uiPriority w:val="0"/>
    <w:pPr>
      <w:widowControl/>
      <w:spacing w:before="100" w:beforeAutospacing="1" w:after="100" w:afterAutospacing="1"/>
      <w:jc w:val="left"/>
    </w:pPr>
    <w:rPr>
      <w:rFonts w:ascii="宋体" w:hAnsi="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CC4D8-3D74-4771-A6ED-0F61FAE42ACD}">
  <ds:schemaRefs/>
</ds:datastoreItem>
</file>

<file path=docProps/app.xml><?xml version="1.0" encoding="utf-8"?>
<Properties xmlns="http://schemas.openxmlformats.org/officeDocument/2006/extended-properties" xmlns:vt="http://schemas.openxmlformats.org/officeDocument/2006/docPropsVTypes">
  <Template>Normal.dotm</Template>
  <Company>jshl2015</Company>
  <Pages>33</Pages>
  <Words>16040</Words>
  <Characters>16408</Characters>
  <Lines>122</Lines>
  <Paragraphs>34</Paragraphs>
  <TotalTime>3</TotalTime>
  <ScaleCrop>false</ScaleCrop>
  <LinksUpToDate>false</LinksUpToDate>
  <CharactersWithSpaces>16599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2022-05-16T05:40:00Z</dcterms:created>
  <dc:creator>bailing</dc:creator>
  <cp:lastModifiedBy>Apple</cp:lastModifiedBy>
  <cp:lastPrinted>2022-05-16T05:40:00Z</cp:lastPrinted>
  <dcterms:modified xsi:type="dcterms:W3CDTF">2022-09-29T03:07:42Z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1F3ADA26051045409F28AA88AB5EA752</vt:lpwstr>
  </property>
</Properties>
</file>