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南通市生态环境综合行政执法局</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（一）贯彻落实国家、省有关生态环境执法的方针政策和法律法规。</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（二）负责制定全市生态环境执法年度计划并组织实施。</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（三）负责全市生态环境领域日常监督执法检查，查处跨区域生态环境违法行为。</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（四）负责全市生态环境执法监督稽查工作。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（五）负责统筹全市生态环境信访工作，协调解决有关跨区域、跨流域生态环境污染纠纷。</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（六）负责统筹全市生态环境应急处置，参与拟订突发生态环境事件和生态破坏事件的应急预案，指导协调调查处理工作。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（七）负责海洋生态环境执法有关工作。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（八）负责生态环境保护综合执法队伍规范化建设，对全市生态环境执法进行业务指导、组织协调和执法考核评价。</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（九）完成市委、市政府交办的其他任务。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办公室、法制科、执法监督科、信访调查处理科、生态环境应急与事故调查科、综合执法一科、综合执法二科、科技执法科、核与辐射安全执法科和海洋生态环境执法科。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主要工作开展情况</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突出重点，推进年度执法任务。一是深化入河排污口整治。全市淮河流域形成7271个排污口清单，已完成溯源、河长信息填报、分类命名编码；完成监测填报7271个，填报率100%；完成实验室监测填报6311个，填报率86.8%；完成整治3813个，完成率67.15%。二是开展专项执法检查。组织开展六轮大气实战比武竞赛，发现环境违法问题123个；开展工业企业噪声污染防治专项执法行动，查处环境违法行为20个；开展断面周边执法检查和长江水质提升专项执法工作，强化水质保障。三是推进联合执法。会同多部门开展12项联合执法检查，推动“公检法环”四部门签订行刑衔接战略合作框架协议，与公安部门设立联合情报研判室，全年办理大案要案33件。</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优化方式，推进非现场监管执法。一是加强制度建设。确定非现场监管执法“一体四化”水平工作目标，2023年全市入企检查次数同比下降41.67%，入企检查人次同比下降25.61%，2023年10月起，单月非现场监管案件立案数比例均达60%以上。二是强化装备配备。将新装备配备要求纳入全市污染防治攻坚考核内容，2023年4月，在全省率先完成执法装备标准化建设任务。三是推行精准执法。创新开展自动监控教学式执法，依托第三方“远程研判+现场协助”的辅助执法新模式，2023年累计查处自动监控环境违法行为96件。</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提升能力，全力打造执法尖兵。一是强化尖兵培养。首次联合组织部门开展青苗杯岗位技能比武，连续七年联合五部门举办执法技能竞赛。完善尖兵培养方案，评选出50名执法尖兵、50名执法能手。选派90余名执法尖兵、能手，参加部、省交叉执法检查，5名执法人员因表现突出被生态环境部发文致谢。二是规范执法行为。开展年度执法稽查，发现各类问题113个。开展行政处罚案卷评查专题培训9场，抽查案卷500份，在全省执法案卷评查中，南通案卷质量得分排名全省第一。三是加强政策激励。全省率先实施执法办案人员奖励，对2个先进集体，9名先进个人予以表彰。</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强化管理，有效防范环境风险。一是规范应急响应机制。出台《南通市生态环境局突发事件信息报告办法》，明确信息报告范围、方式和内容，接报的10起突发事件均及时有效处置。探索开展应急整改情况后评估，形成突发事件处置闭环。二是强化应急队伍建设。建立生态环境消防救援应急处置联合队实体化运行模式，共开展联合演练和拉练20余次、联合实训10场次，成功处置突发事故30余起。三是持续开展环境隐患排查治理。常态化推进环境隐患排查整治，将环境应急检查纳入日常执法必查内容，查处环境应急类违法案件107件。</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以严为纲，强化党风廉政建设。一是扎实开展主题教育。组织开展大讨论、“学习身边榜样”活动，提振队伍精气神；围绕执法规范化建设、非现场监管执法等课题开展专题调研，深入查摆问题，推动问题整改。二是深化党建业务融合。在急难险重工作中成立党员先锋队，每月开展“绿色助企”帮扶，与公安部门共同为崇川区120家企业“送法入企”，为20家饮用水源地周边企业开展长江保护法法制宣讲。三是狠抓廉政警示教育。创新家庭助廉活动，组织召开干部家属廉政座谈会，发放“八过问、八要知”宣传页。持续推广廉政告知制度，进一步筑牢干部拒腐防变的思想防线和行动底线。</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南通市生态环境综合行政执法局</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南通市生态环境综合行政执法局</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2,082.12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1,670.92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411.20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2,082.12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2,082.12</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2,082.12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2,082.12</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2,082.12</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2,082.12</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1,670.92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1,670.92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环境保护管理事务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1,318.49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1,318.49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2110101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1,318.49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1,318.49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污染减排</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352.43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352.43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2111102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生态环境执法监察</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352.43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352.43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411.20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411.20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411.20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411.20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218.16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218.16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193.04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193.04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2,082.12</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1,729.69</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352.43</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1,670.92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1,318.49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352.43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环境保护管理事务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1,318.49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1,318.49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2110101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1,318.49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1,318.49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21111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污染减排</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352.43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352.43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2111102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生态环境执法监察</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352.43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352.43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411.20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411.20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411.20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411.20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218.16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218.16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193.04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193.04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2,082.12</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1,670.92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1,670.92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2,082.12</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2,082.12</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2,082.12</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2,082.12</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2,082.12</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2,082.12</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2,082.12</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1,729.69</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1,670.92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环境保护管理事务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2110101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21111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污染减排</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2111102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生态环境执法监察</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1,729.69</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1,578.91</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150.78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1,539.75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1,539.75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180.47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180.47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452.64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452.64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355.19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355.19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75.22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75.22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48.54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48.54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39.59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22.17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22.17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142.74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142.74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150.78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150.78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29.21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29.21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39.16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39.16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24.99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2,082.12</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1,729.69</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1,670.92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环境保护管理事务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2110101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1,318.49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21111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污染减排</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2111102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生态环境执法监察</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352.43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411.20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1,729.69</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1,578.91</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150.78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1,539.75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1,539.75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180.47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180.47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452.64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452.64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355.19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355.19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75.22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75.22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48.54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48.54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39.59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22.17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22.17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218.16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142.74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142.74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150.78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150.78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29.21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29.21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39.16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39.16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24.99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17.58</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15.00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15.00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2.58</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3.00</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4.00</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16.58</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14.03</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14.03</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2.55</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1.40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2.86</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6</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28</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221</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29</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219</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328</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150.78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150.78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12.93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4.01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8.23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11.15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0.29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2.86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2.54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3.12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12.52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29.21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14.03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33.73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14.76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南通市生态环境综合行政执法局</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179.05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52.60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126.45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179.05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2023年度收入、支出决算总计2,082.12万元。与上年相比，收、支总计各减少24.9万元，减少1.18%。其中：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（一）收入决算总计2,082.12万元。包括：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1.本年收入决算合计2,082.12万元。与上年相比，减少24.9万元，减少1.18%，变动原因：年中减少2人，人员经费支出减少。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（二）支出决算总计2,082.12万元。包括：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1.本年支出决算合计2,082.12万元。与上年相比，减少24.9万元，减少1.18%，变动原因：年中减少2人，人员经费支出减少。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2,082.12万元，其中：财政拨款收入2,082.12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2023年度本年支出决算合计2,082.12万元，其中：基本支出1,729.69万元，占83.07%；项目支出352.43万元，占16.93%；上缴上级支出0万元，占0%；经营支出0万元，占0%；对附属单位补助支出0万元，占0%。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2023年度财政拨款收入、支出决算总计2,082.12万元。与上年相比，收、支总计各减少10.37万元，减少0.5%，变动原因：年中减少2人，人员经费支出减少。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2023年度财政拨款支出决算2,082.12万元，占本年支出合计的100%。与2023年度财政拨款支出年初预算1,639.34万元相比，完成年初预算的127.01%。其中：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（一）节能环保支出（类）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1.环境保护管理事务（款）行政运行（项）。年初预算1,099.86万元，支出决算1,318.49万元，完成年初预算的119.88%。决算数与年初预算数的差异原因：年中追加退休人员补贴，政府购买人员工资等。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污染减排（款）生态环境执法监察（项）。年初预算147万元，支出决算352.43万元，完成年初预算的239.75%。决算数与年初预算数的差异原因：年中追加市本级生态建设专项资金安排的执法装备购置、入河排污口信息综合审核及长效监管等项目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1.住房改革支出（款）住房公积金（项）。年初预算199.44万元，支出决算218.16万元，完成年初预算的109.39%。决算数与年初预算数的差异原因：年中追加新入职人员公积金补差。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2.住房改革支出（款）提租补贴（项）。年初预算193.04万元，支出决算193.04万元，完成年初预算的100%。决算数与年初预算数相同。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2023年度财政拨款基本支出决算1,729.69万元，其中：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（一）人员经费1,578.91万元。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（二）公用经费150.78万元。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主要包括：办公费、印刷费、邮电费、差旅费、维修（护）费、会议费、培训费、公务接待费、劳务费、工会经费、福利费、公务用车运行维护费、其他交通费用、其他商品和服务支出。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2023年度一般公共预算财政拨款支出决算2,082.12万元。与上年相比，减少10.37万元，减少0.5%，变动原因：年中减少2人，人员经费支出减少。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2023年度一般公共预算财政拨款基本支出决算1,729.69万元，其中：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（一）人员经费1,578.91万元。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（二）公用经费150.78万元。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主要包括：办公费、印刷费、邮电费、差旅费、维修（护）费、会议费、培训费、公务接待费、劳务费、工会经费、福利费、公务用车运行维护费、其他交通费用、其他商品和服务支出。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16.58万元（其中：一般公共预算支出16.58万元；政府性基金预算支出0万元；国有资本经营预算支出0万元）。与上年相比，减少0.33万元，变动原因：落实过“紧日子”要求，压缩公务用车运行维护费。其中，因公出国（境）费支出0万元，占“三公”经费的0%；公务用车购置及运行维护费支出14.03万元，占“三公”经费的84.62%；公务接待费支出2.55万元，占“三公”经费的15.38%。2023年度财政拨款“三公”经费支出预算17.58万元（其中：一般公共预算支出17.58万元；政府性基金预算支出0万元；国有资本经营预算支出0万元）。决算数与预算数的差异原因：落实过“紧日子”要求，压缩公务用车运行维护费和公务接待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15万元（其中：一般公共预算支出15万元；政府性基金预算支出0万元；国有资本经营预算支出0万元），支出决算14.03万元（其中：一般公共预算支出14.03万元；政府性基金预算支出0万元；国有资本经营预算支出0万元），完成调整后预算的93.53%，决算数与预算数的差异原因：落实过“紧日子”要求，压缩公车运行维护费。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14.03万元。公务用车运行维护费主要用于按规定保留的公务用车的燃料费、维修费、过桥过路费、保险费、安全奖励费用等支出。截至2023年12月31日，使用财政拨款开支的公务用车保有量为6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2.58万元（其中：一般公共预算支出2.58万元；政府性基金预算支出0万元；国有资本经营预算支出0万元），支出决算2.55万元（其中：一般公共预算支出2.55万元；政府性基金预算支出0万元；国有资本经营预算支出0万元），完成调整后预算的98.84%，决算数与预算数的差异原因：厉行节约，压缩公务接待频次和人数，减少公务接待费。其中：国内公务接待支出2.55万元，接待28批次，221人次，开支内容：接待上级生态环境部门监督检查及外地生态环境执法部门交流学习用餐；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3万元（其中：一般公共预算支出3万元；政府性基金预算支出0万元；国有资本经营预算支出0万元），支出决算1.4万元（其中：一般公共预算支出1.4万元；政府性基金预算支出0万元；国有资本经营预算支出0万元），完成调整后预算的46.67%，决算数与预算数的差异原因：落实过“紧日子”要求，通过减少会议召开频次，采取召开线上会议等方式减少会议费。2023年度全年召开会议29个，参加会议219人次，开支内容：执法业务条线工作布置及考核会。</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4万元（其中：一般公共预算支出4万元；政府性基金预算支出0万元；国有资本经营预算支出0万元），支出决算2.86万元（其中：一般公共预算支出2.86万元；政府性基金预算支出0万元；国有资本经营预算支出0万元），完成调整后预算的71.5%，决算数与预算数的差异原因：落实过“紧日子”的要求，减少召开培训次数，压缩培训费支出。2023年度全年组织培训12个，组织培训328人次，开支内容：全市生态环境执法、环境应急人员业务培训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150.78万元（其中：一般公共预算支出150.78万元；政府性基金预算支出0万元；国有资本经营预算支出0万元）。与上年相比，减少5.87万元，减少3.75%，变动原因：落实过“紧日子”要求，压减日常公用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179.05万元，其中：政府采购货物支出52.6万元、政府采购工程支出0万元、政府采购服务支出126.45万元。政府采购授予中小企业合同金额179.05万元，占政府采购支出总额的100%，其中：授予小微企业合同金额0万元，占授予中小企业合同金额的0%。</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6辆，其中：副部(省)级及以上领导用车0辆、主要领导干部用车0辆、机要通信用车0辆、应急保障用车0辆、执法执勤用车6辆、特种专业技术用车0辆、离退休干部用车0辆、其他用车0辆；单价50万元（含）以上的通用设备2台（套），单价100万元（含）以上的专用设备1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本单位共对2023年度已实施完成的11个项目开展了绩效自评价，涉及财政性资金合计352.43万元；本单位共开展1项单位整体支出绩效自评价，涉及财政性资金合计2,082.12万元。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十九、节能环保支出(类)环境保护管理事务(款)行政运行(项)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二十、节能环保支出(类)污染减排(款)生态环境执法监察(项)</w:t>
      </w:r>
      <w:r>
        <w:rPr>
          <w:rFonts w:ascii="仿宋" w:hAnsi="仿宋" w:cs="仿宋" w:eastAsia="仿宋"/>
          <w:b w:val="true"/>
        </w:rPr>
        <w:t>：</w:t>
      </w:r>
      <w:r>
        <w:rPr>
          <w:rFonts w:ascii="仿宋" w:eastAsia="仿宋" w:hAnsi="仿宋" w:cs="仿宋" w:hint="eastAsia"/>
        </w:rPr>
        <w:t>反映生态环境部门监督检查环保法律法规、标准等执行情况的支出，行政处罚、行政诉讼、行政复议支出，环境行政稽查支出，执法装备支出,排污费申报、征收与使用管理支出，环境问题举报、环境纠纷调查处理支出，突发性污染事故预防、应急处置等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南通市生态环境综合行政执法局</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