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1"/>
        <w:tblpPr w:horzAnchor="margin" w:tblpXSpec="center" w:tblpYSpec="top"/>
        <w:tblOverlap w:val="never"/>
        <w:tblW w:w="0" w:type="auto"/>
        <w:tblInd w:w="0" w:type="dxa"/>
        <w:tblLayout w:type="fixed"/>
        <w:tblCellMar>
          <w:top w:w="0" w:type="dxa"/>
          <w:left w:w="108" w:type="dxa"/>
          <w:bottom w:w="0" w:type="dxa"/>
          <w:right w:w="108" w:type="dxa"/>
        </w:tblCellMar>
      </w:tblPr>
      <w:tblGrid>
        <w:gridCol w:w="8844"/>
      </w:tblGrid>
      <w:tr>
        <w:tblPrEx>
          <w:tblCellMar>
            <w:top w:w="0" w:type="dxa"/>
            <w:left w:w="108" w:type="dxa"/>
            <w:bottom w:w="0" w:type="dxa"/>
            <w:right w:w="108" w:type="dxa"/>
          </w:tblCellMar>
        </w:tblPrEx>
        <w:tc>
          <w:tcPr>
            <w:tcW w:w="8844" w:type="dxa"/>
            <w:tcMar>
              <w:left w:w="0" w:type="dxa"/>
              <w:right w:w="0" w:type="dxa"/>
            </w:tcMar>
          </w:tcPr>
          <w:p>
            <w:pPr>
              <w:pStyle w:val="20"/>
              <w:spacing w:line="600" w:lineRule="exact"/>
              <w:jc w:val="both"/>
              <w:rPr>
                <w:rFonts w:ascii="Times New Roman"/>
                <w:color w:val="000000"/>
                <w:sz w:val="32"/>
              </w:rPr>
            </w:pPr>
          </w:p>
        </w:tc>
      </w:tr>
      <w:tr>
        <w:tblPrEx>
          <w:tblCellMar>
            <w:top w:w="0" w:type="dxa"/>
            <w:left w:w="108" w:type="dxa"/>
            <w:bottom w:w="0" w:type="dxa"/>
            <w:right w:w="108" w:type="dxa"/>
          </w:tblCellMar>
        </w:tblPrEx>
        <w:tc>
          <w:tcPr>
            <w:tcW w:w="8844" w:type="dxa"/>
            <w:tcMar>
              <w:left w:w="0" w:type="dxa"/>
              <w:right w:w="0" w:type="dxa"/>
            </w:tcMar>
          </w:tcPr>
          <w:p>
            <w:pPr>
              <w:pStyle w:val="20"/>
              <w:spacing w:line="600" w:lineRule="exact"/>
              <w:jc w:val="both"/>
              <w:rPr>
                <w:rFonts w:ascii="Times New Roman"/>
                <w:color w:val="000000"/>
                <w:sz w:val="32"/>
              </w:rPr>
            </w:pPr>
          </w:p>
        </w:tc>
      </w:tr>
      <w:tr>
        <w:tblPrEx>
          <w:tblCellMar>
            <w:top w:w="0" w:type="dxa"/>
            <w:left w:w="108" w:type="dxa"/>
            <w:bottom w:w="0" w:type="dxa"/>
            <w:right w:w="108" w:type="dxa"/>
          </w:tblCellMar>
        </w:tblPrEx>
        <w:tc>
          <w:tcPr>
            <w:tcW w:w="8844" w:type="dxa"/>
            <w:tcMar>
              <w:left w:w="0" w:type="dxa"/>
              <w:right w:w="0" w:type="dxa"/>
            </w:tcMar>
          </w:tcPr>
          <w:p>
            <w:pPr>
              <w:pStyle w:val="20"/>
              <w:spacing w:line="600" w:lineRule="exact"/>
              <w:jc w:val="both"/>
              <w:rPr>
                <w:rFonts w:ascii="Times New Roman"/>
                <w:color w:val="000000"/>
                <w:sz w:val="32"/>
              </w:rPr>
            </w:pPr>
          </w:p>
        </w:tc>
      </w:tr>
      <w:tr>
        <w:tblPrEx>
          <w:tblCellMar>
            <w:top w:w="0" w:type="dxa"/>
            <w:left w:w="108" w:type="dxa"/>
            <w:bottom w:w="0" w:type="dxa"/>
            <w:right w:w="108" w:type="dxa"/>
          </w:tblCellMar>
        </w:tblPrEx>
        <w:tc>
          <w:tcPr>
            <w:tcW w:w="8844" w:type="dxa"/>
            <w:tcMar>
              <w:left w:w="0" w:type="dxa"/>
              <w:right w:w="0" w:type="dxa"/>
            </w:tcMar>
          </w:tcPr>
          <w:p>
            <w:pPr>
              <w:pStyle w:val="21"/>
              <w:spacing w:before="120" w:after="300" w:line="1300" w:lineRule="atLeast"/>
              <w:rPr>
                <w:rFonts w:ascii="Times New Roman" w:eastAsia="方正小标宋_GBK"/>
                <w:w w:val="50"/>
                <w:sz w:val="130"/>
                <w:szCs w:val="130"/>
              </w:rPr>
            </w:pPr>
            <w:r>
              <w:rPr>
                <w:rFonts w:hint="eastAsia" w:ascii="Times New Roman" w:eastAsia="方正小标宋_GBK"/>
                <w:w w:val="50"/>
                <w:sz w:val="130"/>
                <w:szCs w:val="130"/>
              </w:rPr>
              <w:t>南通市生态环境局文件</w:t>
            </w:r>
          </w:p>
        </w:tc>
      </w:tr>
      <w:tr>
        <w:tblPrEx>
          <w:tblCellMar>
            <w:top w:w="0" w:type="dxa"/>
            <w:left w:w="108" w:type="dxa"/>
            <w:bottom w:w="0" w:type="dxa"/>
            <w:right w:w="108" w:type="dxa"/>
          </w:tblCellMar>
        </w:tblPrEx>
        <w:tc>
          <w:tcPr>
            <w:tcW w:w="8844" w:type="dxa"/>
            <w:tcMar>
              <w:left w:w="0" w:type="dxa"/>
              <w:right w:w="0" w:type="dxa"/>
            </w:tcMar>
          </w:tcPr>
          <w:p>
            <w:pPr>
              <w:tabs>
                <w:tab w:val="left" w:pos="8364"/>
              </w:tabs>
              <w:jc w:val="center"/>
              <w:rPr>
                <w:rFonts w:eastAsia="仿宋"/>
              </w:rPr>
            </w:pPr>
            <w:r>
              <w:rPr>
                <w:rFonts w:eastAsia="仿宋"/>
                <w:sz w:val="32"/>
                <w:szCs w:val="32"/>
              </w:rPr>
              <w:t>通环</w:t>
            </w:r>
            <w:r>
              <w:rPr>
                <w:rFonts w:hint="eastAsia" w:eastAsia="仿宋"/>
                <w:sz w:val="32"/>
                <w:szCs w:val="32"/>
              </w:rPr>
              <w:t>验</w:t>
            </w:r>
            <w:r>
              <w:rPr>
                <w:rFonts w:eastAsia="仿宋"/>
                <w:sz w:val="32"/>
                <w:szCs w:val="32"/>
              </w:rPr>
              <w:t>〔202</w:t>
            </w:r>
            <w:r>
              <w:rPr>
                <w:rFonts w:hint="eastAsia" w:eastAsia="仿宋"/>
                <w:sz w:val="32"/>
                <w:szCs w:val="32"/>
              </w:rPr>
              <w:t>3</w:t>
            </w:r>
            <w:r>
              <w:rPr>
                <w:rFonts w:eastAsia="仿宋"/>
                <w:sz w:val="32"/>
                <w:szCs w:val="32"/>
              </w:rPr>
              <w:t>〕</w:t>
            </w:r>
            <w:r>
              <w:rPr>
                <w:rFonts w:hint="eastAsia" w:eastAsia="仿宋"/>
                <w:sz w:val="32"/>
                <w:szCs w:val="32"/>
              </w:rPr>
              <w:t>6</w:t>
            </w:r>
            <w:r>
              <w:rPr>
                <w:rFonts w:eastAsia="仿宋"/>
                <w:sz w:val="32"/>
                <w:szCs w:val="32"/>
              </w:rPr>
              <w:t>号</w:t>
            </w:r>
          </w:p>
        </w:tc>
      </w:tr>
      <w:tr>
        <w:tblPrEx>
          <w:tblCellMar>
            <w:top w:w="0" w:type="dxa"/>
            <w:left w:w="108" w:type="dxa"/>
            <w:bottom w:w="0" w:type="dxa"/>
            <w:right w:w="108" w:type="dxa"/>
          </w:tblCellMar>
        </w:tblPrEx>
        <w:tc>
          <w:tcPr>
            <w:tcW w:w="8844" w:type="dxa"/>
            <w:tcMar>
              <w:left w:w="0" w:type="dxa"/>
              <w:right w:w="0" w:type="dxa"/>
            </w:tcMar>
          </w:tcPr>
          <w:p>
            <w:pPr>
              <w:pStyle w:val="22"/>
              <w:snapToGrid w:val="0"/>
              <w:spacing w:after="840" w:line="100" w:lineRule="atLeast"/>
              <w:ind w:left="-57" w:right="-57"/>
              <w:rPr>
                <w:rFonts w:ascii="Times New Roman"/>
              </w:rPr>
            </w:pPr>
            <w:bookmarkStart w:id="0" w:name="_1082439050"/>
            <w:bookmarkEnd w:id="0"/>
            <w:bookmarkStart w:id="1" w:name="_1082439055"/>
            <w:bookmarkEnd w:id="1"/>
            <w:bookmarkStart w:id="2" w:name="_1085810142"/>
            <w:bookmarkEnd w:id="2"/>
            <w:bookmarkStart w:id="3" w:name="_1085810014"/>
            <w:bookmarkEnd w:id="3"/>
            <w:r>
              <w:rPr>
                <w:rFonts w:ascii="Times New Roman"/>
              </w:rPr>
              <w:object>
                <v:shape id="_x0000_i1025" o:spt="75" type="#_x0000_t75" style="height:6.9pt;width:447.65pt;" o:ole="t" fillcolor="#ACA899" filled="f" o:preferrelative="t" stroked="f" coordsize="21600,21600">
                  <v:path/>
                  <v:fill on="f" focussize="0,0"/>
                  <v:stroke on="f" joinstyle="miter"/>
                  <v:imagedata r:id="rId6" o:title=""/>
                  <o:lock v:ext="edit" aspectratio="t"/>
                  <w10:wrap type="none"/>
                  <w10:anchorlock/>
                </v:shape>
                <o:OLEObject Type="Embed" ProgID="Word.Picture.8" ShapeID="_x0000_i1025" DrawAspect="Content" ObjectID="_1468075725" r:id="rId5">
                  <o:LockedField>false</o:LockedField>
                </o:OLEObject>
              </w:object>
            </w:r>
          </w:p>
        </w:tc>
      </w:tr>
    </w:tbl>
    <w:p>
      <w:pPr>
        <w:adjustRightInd w:val="0"/>
        <w:snapToGrid w:val="0"/>
        <w:spacing w:line="560" w:lineRule="exact"/>
        <w:jc w:val="center"/>
        <w:rPr>
          <w:rFonts w:eastAsia="方正小标宋_GBK"/>
          <w:sz w:val="44"/>
          <w:szCs w:val="44"/>
        </w:rPr>
      </w:pPr>
      <w:r>
        <w:rPr>
          <w:rFonts w:hint="eastAsia" w:eastAsia="方正小标宋_GBK"/>
          <w:sz w:val="44"/>
          <w:szCs w:val="44"/>
        </w:rPr>
        <w:t>南通市生态环境局关于三峡新能源江苏如东H6（400MW）海上风电项目环境保护</w:t>
      </w:r>
    </w:p>
    <w:p>
      <w:pPr>
        <w:adjustRightInd w:val="0"/>
        <w:snapToGrid w:val="0"/>
        <w:spacing w:line="560" w:lineRule="exact"/>
        <w:jc w:val="center"/>
        <w:rPr>
          <w:rFonts w:eastAsia="方正小标宋_GBK"/>
          <w:sz w:val="44"/>
          <w:szCs w:val="44"/>
        </w:rPr>
      </w:pPr>
      <w:r>
        <w:rPr>
          <w:rFonts w:hint="eastAsia" w:eastAsia="方正小标宋_GBK"/>
          <w:sz w:val="44"/>
          <w:szCs w:val="44"/>
        </w:rPr>
        <w:t>设施竣工验收意见的函</w:t>
      </w:r>
    </w:p>
    <w:p>
      <w:pPr>
        <w:adjustRightInd w:val="0"/>
        <w:snapToGrid w:val="0"/>
        <w:spacing w:line="590" w:lineRule="exact"/>
        <w:rPr>
          <w:rFonts w:eastAsia="华文仿宋"/>
          <w:bCs/>
          <w:sz w:val="32"/>
          <w:szCs w:val="32"/>
        </w:rPr>
      </w:pPr>
    </w:p>
    <w:p>
      <w:pPr>
        <w:adjustRightInd w:val="0"/>
        <w:snapToGrid w:val="0"/>
        <w:spacing w:line="590" w:lineRule="atLeast"/>
        <w:rPr>
          <w:rFonts w:eastAsia="方正仿宋_GBK"/>
          <w:bCs/>
          <w:sz w:val="32"/>
          <w:szCs w:val="32"/>
        </w:rPr>
      </w:pPr>
      <w:r>
        <w:rPr>
          <w:rFonts w:hint="eastAsia" w:ascii="方正仿宋_GBK" w:hAnsi="方正仿宋_GBK" w:eastAsia="方正仿宋_GBK" w:cs="方正仿宋_GBK"/>
          <w:sz w:val="32"/>
          <w:szCs w:val="32"/>
        </w:rPr>
        <w:t>三峡新能源南通有限公司</w:t>
      </w:r>
      <w:r>
        <w:rPr>
          <w:rFonts w:hint="eastAsia" w:eastAsia="方正仿宋_GBK"/>
          <w:bCs/>
          <w:sz w:val="32"/>
          <w:szCs w:val="32"/>
        </w:rPr>
        <w:t>：</w:t>
      </w:r>
    </w:p>
    <w:p>
      <w:pPr>
        <w:adjustRightInd w:val="0"/>
        <w:snapToGrid w:val="0"/>
        <w:spacing w:line="590" w:lineRule="atLeast"/>
        <w:ind w:firstLine="640" w:firstLineChars="200"/>
        <w:rPr>
          <w:rFonts w:eastAsia="方正仿宋_GBK"/>
          <w:bCs/>
          <w:sz w:val="32"/>
          <w:szCs w:val="32"/>
        </w:rPr>
      </w:pPr>
      <w:r>
        <w:rPr>
          <w:rFonts w:hint="eastAsia" w:eastAsia="方正仿宋_GBK"/>
          <w:bCs/>
          <w:sz w:val="32"/>
          <w:szCs w:val="32"/>
        </w:rPr>
        <w:t>《三峡新能源江苏如东H6（400MW）海上风电项目竣工环境保护验收调查报告》（以下简称《调查报告》）等材料收悉。根据《省生态环境厅关于委托三峡新能源江苏如东H6(400MW)、H10(400MW)海上风电项目环境保护设施验收的函》（苏环便函〔2023〕865号），我局组织相关单位对该项目进行了竣工环境保护设施现场检查。经研究，现提出如下意见：</w:t>
      </w:r>
    </w:p>
    <w:p>
      <w:pPr>
        <w:adjustRightInd w:val="0"/>
        <w:snapToGrid w:val="0"/>
        <w:spacing w:line="590" w:lineRule="atLeas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一、工程建设基本情况</w:t>
      </w:r>
    </w:p>
    <w:p>
      <w:pPr>
        <w:adjustRightInd w:val="0"/>
        <w:snapToGrid w:val="0"/>
        <w:spacing w:line="590" w:lineRule="atLeas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（一）项目概况</w:t>
      </w:r>
    </w:p>
    <w:p>
      <w:pPr>
        <w:adjustRightInd w:val="0"/>
        <w:snapToGrid w:val="0"/>
        <w:spacing w:line="570" w:lineRule="exact"/>
        <w:ind w:firstLine="640" w:firstLineChars="200"/>
        <w:rPr>
          <w:rFonts w:eastAsia="方正仿宋_GBK"/>
          <w:bCs/>
          <w:sz w:val="32"/>
          <w:szCs w:val="32"/>
        </w:rPr>
      </w:pPr>
      <w:r>
        <w:rPr>
          <w:rFonts w:hint="eastAsia" w:ascii="方正仿宋_GBK" w:hAnsi="方正仿宋_GBK" w:eastAsia="方正仿宋_GBK" w:cs="方正仿宋_GBK"/>
          <w:sz w:val="32"/>
          <w:szCs w:val="32"/>
        </w:rPr>
        <w:t>三峡新能</w:t>
      </w:r>
      <w:r>
        <w:rPr>
          <w:rFonts w:hint="eastAsia" w:eastAsia="方正仿宋_GBK"/>
          <w:bCs/>
          <w:sz w:val="32"/>
          <w:szCs w:val="32"/>
        </w:rPr>
        <w:t>源江苏如东H6（400MW）海上风电项目位于如东县东部的黄沙洋海域，主要工程建设内容为：100台单机容量为4.0MW的风力发电机组，1座400kV海上换流站、1座220kV海上升压站、1座海上辅助平台、场内35kV交流海底电缆149.2km、海上升压站至海上换流站220kV交流海底电缆6km、从海上换流站至登陆点（穿海堤后）直流400kV海底电缆99km。</w:t>
      </w:r>
    </w:p>
    <w:p>
      <w:pPr>
        <w:adjustRightInd w:val="0"/>
        <w:snapToGrid w:val="0"/>
        <w:spacing w:line="570" w:lineRule="exact"/>
        <w:ind w:firstLine="640" w:firstLineChars="200"/>
        <w:rPr>
          <w:rFonts w:eastAsia="方正仿宋_GBK"/>
          <w:bCs/>
          <w:sz w:val="32"/>
          <w:szCs w:val="32"/>
        </w:rPr>
      </w:pPr>
      <w:r>
        <w:rPr>
          <w:rFonts w:hint="eastAsia" w:eastAsia="方正仿宋_GBK"/>
          <w:bCs/>
          <w:sz w:val="32"/>
          <w:szCs w:val="32"/>
        </w:rPr>
        <w:t>本项目于2019年12月取得《南通市生态环境局关于三峡新能源江苏如东H6（400MW）海上风电项目环境影响报告书的批复》（通环审〔2019〕11号），2020年2月开工建设，2021年12月完成全部建设内容，进入调试阶段。本项目实际总投资735060.93万元，其中环保投资3389.06万元，占比0.46%。</w:t>
      </w:r>
    </w:p>
    <w:p>
      <w:pPr>
        <w:adjustRightInd w:val="0"/>
        <w:snapToGrid w:val="0"/>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（二）工程变动情况</w:t>
      </w:r>
    </w:p>
    <w:p>
      <w:pPr>
        <w:spacing w:line="570" w:lineRule="exact"/>
        <w:ind w:firstLine="640" w:firstLineChars="200"/>
        <w:rPr>
          <w:rFonts w:eastAsia="方正仿宋_GBK"/>
          <w:bCs/>
          <w:sz w:val="32"/>
          <w:szCs w:val="32"/>
        </w:rPr>
      </w:pPr>
      <w:r>
        <w:rPr>
          <w:rFonts w:hint="eastAsia" w:eastAsia="方正仿宋_GBK"/>
          <w:bCs/>
          <w:sz w:val="32"/>
          <w:szCs w:val="32"/>
        </w:rPr>
        <w:t>根据《调查报告》，与环评阶段相比，本项目部分建设内容和环保措施发生了变动：本工程400kV直流电缆长度由98km增加至99km；施工期船舶生活污水处置方式由接收上岸处置调整为经一体化污水处置设施处理后达到《船舶水污染物排放控制标准》（GB3552-2018）的要求排放；未设置洋口港临时施工作业区；运行期维护危废依托陆上换流站接收处置调整为委托淮安华昌固废处置有限公司、江苏信炜能源发展有限公司处置；海上升压站1座事故油罐调整为2座，升压站和换流站事故油罐有效容积由310m</w:t>
      </w:r>
      <w:r>
        <w:rPr>
          <w:rFonts w:hint="eastAsia" w:eastAsia="方正仿宋_GBK"/>
          <w:bCs/>
          <w:sz w:val="32"/>
          <w:szCs w:val="32"/>
          <w:vertAlign w:val="superscript"/>
        </w:rPr>
        <w:t>3</w:t>
      </w:r>
      <w:r>
        <w:rPr>
          <w:rFonts w:hint="eastAsia" w:eastAsia="方正仿宋_GBK"/>
          <w:bCs/>
          <w:sz w:val="32"/>
          <w:szCs w:val="32"/>
        </w:rPr>
        <w:t>扩大至507.96 m</w:t>
      </w:r>
      <w:r>
        <w:rPr>
          <w:rFonts w:hint="eastAsia" w:eastAsia="方正仿宋_GBK"/>
          <w:bCs/>
          <w:sz w:val="32"/>
          <w:szCs w:val="32"/>
          <w:vertAlign w:val="superscript"/>
        </w:rPr>
        <w:t>3</w:t>
      </w:r>
      <w:r>
        <w:rPr>
          <w:rFonts w:hint="eastAsia" w:eastAsia="方正仿宋_GBK"/>
          <w:bCs/>
          <w:sz w:val="32"/>
          <w:szCs w:val="32"/>
        </w:rPr>
        <w:t>。</w:t>
      </w:r>
    </w:p>
    <w:p>
      <w:pPr>
        <w:spacing w:line="570" w:lineRule="exact"/>
        <w:ind w:firstLine="640" w:firstLineChars="200"/>
        <w:rPr>
          <w:rFonts w:eastAsia="方正仿宋_GBK"/>
          <w:bCs/>
          <w:sz w:val="32"/>
          <w:szCs w:val="32"/>
        </w:rPr>
      </w:pPr>
      <w:r>
        <w:rPr>
          <w:rFonts w:hint="eastAsia" w:eastAsia="方正仿宋_GBK"/>
          <w:bCs/>
          <w:sz w:val="32"/>
          <w:szCs w:val="32"/>
        </w:rPr>
        <w:t>依据《省生态环境厅关于加强涉变动项目环评与排污许可管理衔接的通知》（苏环办〔2021〕122号）中的生态影响类建设项目重大变动清单（试行），本项目不涉及重大变动。</w:t>
      </w:r>
    </w:p>
    <w:p>
      <w:pPr>
        <w:adjustRightInd w:val="0"/>
        <w:snapToGrid w:val="0"/>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二、环保措施及环境风险防范措施落实情况</w:t>
      </w:r>
    </w:p>
    <w:p>
      <w:pPr>
        <w:adjustRightInd w:val="0"/>
        <w:snapToGrid w:val="0"/>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（一）水污染防治措施落实情况</w:t>
      </w:r>
    </w:p>
    <w:p>
      <w:pPr>
        <w:spacing w:line="570" w:lineRule="exact"/>
        <w:ind w:firstLine="640" w:firstLineChars="200"/>
        <w:rPr>
          <w:rFonts w:eastAsia="方正仿宋_GBK"/>
          <w:bCs/>
          <w:sz w:val="32"/>
          <w:szCs w:val="32"/>
        </w:rPr>
      </w:pPr>
      <w:r>
        <w:rPr>
          <w:rFonts w:hint="eastAsia" w:eastAsia="方正仿宋_GBK"/>
          <w:bCs/>
          <w:sz w:val="32"/>
          <w:szCs w:val="32"/>
        </w:rPr>
        <w:t>本项目运维船舶生活污水收集后运回陆上换流站，由陆上换流站污水收集设施收集后接入市政管网。避难人员生活污水通过海上辅助平台生活污水处理装置处理后，和运维船舶生活污水一并送至陆上换流站污水收集设施。</w:t>
      </w:r>
    </w:p>
    <w:p>
      <w:pPr>
        <w:adjustRightInd w:val="0"/>
        <w:snapToGrid w:val="0"/>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（二）大气污染防治措施落实情况</w:t>
      </w:r>
    </w:p>
    <w:p>
      <w:pPr>
        <w:pStyle w:val="9"/>
        <w:spacing w:before="0" w:beforeAutospacing="0" w:after="0" w:afterAutospacing="0" w:line="570" w:lineRule="exact"/>
        <w:ind w:firstLine="640" w:firstLineChars="200"/>
        <w:rPr>
          <w:rFonts w:ascii="Times New Roman" w:hAnsi="Times New Roman" w:eastAsia="方正仿宋_GBK" w:cs="Times New Roman"/>
          <w:bCs/>
          <w:kern w:val="2"/>
          <w:sz w:val="32"/>
          <w:szCs w:val="32"/>
        </w:rPr>
      </w:pPr>
      <w:r>
        <w:rPr>
          <w:rFonts w:hint="eastAsia" w:eastAsia="方正仿宋_GBK"/>
          <w:bCs/>
          <w:sz w:val="32"/>
          <w:szCs w:val="32"/>
        </w:rPr>
        <w:t>本项目严格控制船舶航行管理，有效控制废气污染</w:t>
      </w:r>
      <w:r>
        <w:rPr>
          <w:rFonts w:hint="eastAsia" w:ascii="方正仿宋_GBK" w:hAnsi="方正仿宋_GBK" w:eastAsia="方正仿宋_GBK" w:cs="方正仿宋_GBK"/>
          <w:sz w:val="32"/>
          <w:szCs w:val="32"/>
        </w:rPr>
        <w:t>。</w:t>
      </w:r>
    </w:p>
    <w:p>
      <w:pPr>
        <w:adjustRightInd w:val="0"/>
        <w:snapToGrid w:val="0"/>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（三）噪声污染防治措施落实情况</w:t>
      </w:r>
    </w:p>
    <w:p>
      <w:pPr>
        <w:pStyle w:val="9"/>
        <w:spacing w:before="0" w:beforeAutospacing="0" w:after="0" w:afterAutospacing="0" w:line="570" w:lineRule="exact"/>
        <w:ind w:firstLine="640" w:firstLineChars="200"/>
        <w:rPr>
          <w:rFonts w:ascii="Times New Roman" w:hAnsi="Times New Roman" w:eastAsia="方正仿宋_GBK" w:cs="Times New Roman"/>
          <w:sz w:val="32"/>
          <w:szCs w:val="32"/>
        </w:rPr>
      </w:pPr>
      <w:r>
        <w:rPr>
          <w:rFonts w:hint="eastAsia" w:eastAsia="方正仿宋_GBK"/>
          <w:bCs/>
          <w:sz w:val="32"/>
          <w:szCs w:val="32"/>
        </w:rPr>
        <w:t>本项目</w:t>
      </w:r>
      <w:r>
        <w:rPr>
          <w:rFonts w:ascii="Times New Roman" w:hAnsi="Times New Roman" w:eastAsia="方正仿宋_GBK" w:cs="Times New Roman"/>
          <w:sz w:val="32"/>
          <w:szCs w:val="32"/>
        </w:rPr>
        <w:t>采用结构性能良好、噪音低的风机，风机齿轮箱采取弹性连接，减小运转产生的震动，</w:t>
      </w:r>
      <w:r>
        <w:rPr>
          <w:rFonts w:hint="eastAsia" w:ascii="Times New Roman" w:hAnsi="Times New Roman" w:eastAsia="方正仿宋_GBK" w:cs="Times New Roman"/>
          <w:sz w:val="32"/>
          <w:szCs w:val="32"/>
        </w:rPr>
        <w:t>同时</w:t>
      </w:r>
      <w:r>
        <w:rPr>
          <w:rFonts w:ascii="Times New Roman" w:hAnsi="Times New Roman" w:eastAsia="方正仿宋_GBK" w:cs="Times New Roman"/>
          <w:sz w:val="32"/>
          <w:szCs w:val="32"/>
        </w:rPr>
        <w:t>加强风电场巡检及设备维护。400kV海上换流站和220kV海上升压站均选用低噪声变压器，变压器采用室内布置，利用墙体结构屏蔽噪声。</w:t>
      </w:r>
    </w:p>
    <w:p>
      <w:pPr>
        <w:adjustRightInd w:val="0"/>
        <w:snapToGrid w:val="0"/>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（四）海洋生态环境保护措施落实情况</w:t>
      </w:r>
    </w:p>
    <w:p>
      <w:pPr>
        <w:pStyle w:val="9"/>
        <w:spacing w:before="0" w:beforeAutospacing="0" w:after="0" w:afterAutospacing="0" w:line="570" w:lineRule="exact"/>
        <w:ind w:firstLine="640" w:firstLineChars="200"/>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本项目合理优化施工方案，在保证施工质量的前提下缩短水下作业时间，减小施工作业对底栖生物的影响。运行期建设单位建立风电场运营管理制度，并设有远程控制中心，确保工程安全运行。风机叶片采用非反光涂料，叶片尖端涂抹红色警示色，机舱顶部安装驱鸟器，</w:t>
      </w:r>
      <w:r>
        <w:rPr>
          <w:rFonts w:ascii="Times New Roman" w:hAnsi="Times New Roman" w:eastAsia="方正仿宋_GBK" w:cs="Times New Roman"/>
          <w:sz w:val="32"/>
          <w:szCs w:val="32"/>
        </w:rPr>
        <w:t>促使鸟类趋避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降低撞击风险。建设单位设有专人定时巡视风场，鸟类迁徙高峰季和越冬季加强巡视频次，遇到受伤鸟类采取及时救助等保护措施。委托上海鉴海环境检测技术有限公司开展试运行期海洋生态环境和鸟类跟踪监测。</w:t>
      </w:r>
    </w:p>
    <w:p>
      <w:pPr>
        <w:pStyle w:val="9"/>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按照《关于加强涉海工程项目海洋资源生态补偿资金缴纳与使用管理工作的通知》（东政办发〔2021〕77号）缴纳相应</w:t>
      </w:r>
      <w:r>
        <w:rPr>
          <w:rFonts w:hint="eastAsia" w:ascii="Times New Roman" w:hAnsi="Times New Roman" w:eastAsia="方正仿宋_GBK" w:cs="Times New Roman"/>
          <w:sz w:val="32"/>
          <w:szCs w:val="32"/>
        </w:rPr>
        <w:t>海洋生态</w:t>
      </w:r>
      <w:r>
        <w:rPr>
          <w:rFonts w:ascii="Times New Roman" w:hAnsi="Times New Roman" w:eastAsia="方正仿宋_GBK" w:cs="Times New Roman"/>
          <w:sz w:val="32"/>
          <w:szCs w:val="32"/>
        </w:rPr>
        <w:t>补偿经费至如东县财政。如东H6（400MW）海上风电项目海洋生态修复资金共2009.26万元，分三笔支付，目前已完成第一笔669.75万元、第二笔669.75万元海洋生态补偿资金缴纳，</w:t>
      </w:r>
      <w:r>
        <w:rPr>
          <w:rFonts w:hint="eastAsia" w:ascii="Times New Roman" w:hAnsi="Times New Roman" w:eastAsia="方正仿宋_GBK" w:cs="Times New Roman"/>
          <w:sz w:val="32"/>
          <w:szCs w:val="32"/>
        </w:rPr>
        <w:t>你单位</w:t>
      </w:r>
      <w:r>
        <w:rPr>
          <w:rFonts w:ascii="Times New Roman" w:hAnsi="Times New Roman" w:eastAsia="方正仿宋_GBK" w:cs="Times New Roman"/>
          <w:sz w:val="32"/>
          <w:szCs w:val="32"/>
        </w:rPr>
        <w:t>承诺第三笔669.76万元按照协议</w:t>
      </w:r>
      <w:r>
        <w:rPr>
          <w:rFonts w:hint="eastAsia" w:ascii="Times New Roman" w:hAnsi="Times New Roman" w:eastAsia="方正仿宋_GBK" w:cs="Times New Roman"/>
          <w:sz w:val="32"/>
          <w:szCs w:val="32"/>
        </w:rPr>
        <w:t>于</w:t>
      </w:r>
      <w:r>
        <w:rPr>
          <w:rFonts w:ascii="Times New Roman" w:hAnsi="Times New Roman" w:eastAsia="方正仿宋_GBK" w:cs="Times New Roman"/>
          <w:sz w:val="32"/>
          <w:szCs w:val="32"/>
        </w:rPr>
        <w:t>2024年6月30日前完成支付。</w:t>
      </w:r>
    </w:p>
    <w:p>
      <w:pPr>
        <w:pStyle w:val="23"/>
        <w:spacing w:line="570" w:lineRule="exact"/>
        <w:ind w:firstLine="64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（五）固体废物处置措施落实情况</w:t>
      </w:r>
    </w:p>
    <w:p>
      <w:pPr>
        <w:pStyle w:val="9"/>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eastAsia="方正仿宋_GBK"/>
          <w:bCs/>
          <w:sz w:val="32"/>
          <w:szCs w:val="32"/>
        </w:rPr>
        <w:t>本项目</w:t>
      </w:r>
      <w:r>
        <w:rPr>
          <w:rFonts w:hint="eastAsia" w:ascii="方正仿宋_GBK" w:hAnsi="方正仿宋_GBK" w:eastAsia="方正仿宋_GBK" w:cs="方正仿宋_GBK"/>
          <w:sz w:val="32"/>
          <w:szCs w:val="32"/>
        </w:rPr>
        <w:t>运维人员产生的生活垃圾经分类收集运至陆上换流站，由当地环卫部门集中清运处置。电气设备及风机维保产生的废油、维护废料和废电池等，属于危险废物，建设单位已与淮安华昌固废处置有限公司、江苏信炜能源发展有限公司签订了危废处置协议；废电池由厂家回收处理。</w:t>
      </w:r>
    </w:p>
    <w:p>
      <w:pPr>
        <w:pStyle w:val="23"/>
        <w:spacing w:line="570" w:lineRule="exact"/>
        <w:ind w:firstLine="640"/>
        <w:outlineLvl w:val="1"/>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（六）环境风险防范及应急措施落实情况</w:t>
      </w:r>
    </w:p>
    <w:p>
      <w:pPr>
        <w:pStyle w:val="9"/>
        <w:spacing w:before="0" w:beforeAutospacing="0" w:after="0" w:afterAutospacing="0" w:line="570" w:lineRule="exact"/>
        <w:ind w:firstLine="640" w:firstLineChars="200"/>
        <w:jc w:val="both"/>
        <w:rPr>
          <w:rFonts w:ascii="Times New Roman" w:hAnsi="Times New Roman" w:eastAsia="方正仿宋_GBK" w:cs="Times New Roman"/>
          <w:bCs/>
          <w:kern w:val="2"/>
          <w:sz w:val="32"/>
          <w:szCs w:val="32"/>
        </w:rPr>
      </w:pPr>
      <w:r>
        <w:rPr>
          <w:rFonts w:hint="eastAsia" w:ascii="方正仿宋_GBK" w:hAnsi="方正仿宋_GBK" w:eastAsia="方正仿宋_GBK" w:cs="方正仿宋_GBK"/>
          <w:sz w:val="32"/>
          <w:szCs w:val="32"/>
        </w:rPr>
        <w:t>本项目开展了溢油事故应急演练，与南通亿洋船务工程有限公司签订了应急处置协议，依托其溢油应急力量和应急物资。与上海鉴海环境检测技术有限公司签订了应急监测协议。建设单位在海上换流站二层配备一定数量的吸油毡、围油栏等应急物资，编制《三峡新能源南通有限公司防治海洋工程污染损害海洋环境应急预案》并备案（备案号为：</w:t>
      </w:r>
      <w:r>
        <w:rPr>
          <w:rFonts w:ascii="Times New Roman" w:hAnsi="Times New Roman" w:eastAsia="方正仿宋_GBK" w:cs="Times New Roman"/>
          <w:sz w:val="32"/>
          <w:szCs w:val="32"/>
        </w:rPr>
        <w:t>320600-2023-H003-L</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w:t>
      </w:r>
    </w:p>
    <w:p>
      <w:pPr>
        <w:adjustRightInd w:val="0"/>
        <w:snapToGrid w:val="0"/>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三、工程建设对海洋环境的影响</w:t>
      </w:r>
    </w:p>
    <w:p>
      <w:pPr>
        <w:spacing w:line="570" w:lineRule="exact"/>
        <w:ind w:firstLine="640" w:firstLineChars="200"/>
        <w:rPr>
          <w:rFonts w:eastAsia="方正仿宋_GBK"/>
          <w:bCs/>
          <w:sz w:val="32"/>
          <w:szCs w:val="32"/>
        </w:rPr>
      </w:pPr>
      <w:r>
        <w:rPr>
          <w:rFonts w:hint="eastAsia" w:eastAsia="方正仿宋_GBK"/>
          <w:bCs/>
          <w:sz w:val="32"/>
          <w:szCs w:val="32"/>
        </w:rPr>
        <w:t>根据《调查报告》，工程施工和试运行对周边海域海水水质、沉积物等未产生明显影响。</w:t>
      </w:r>
    </w:p>
    <w:p>
      <w:pPr>
        <w:adjustRightInd w:val="0"/>
        <w:snapToGrid w:val="0"/>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四、验收结论和管理要求</w:t>
      </w:r>
    </w:p>
    <w:p>
      <w:pPr>
        <w:pStyle w:val="24"/>
        <w:spacing w:line="57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本项目建设无重大变更，并按环境影响报告及批复意见落实了施工期及试运营期各环境要素、海洋生态环境保护及风险防范措施。经研究，同意该项目环境保护设施验收合格。</w:t>
      </w:r>
    </w:p>
    <w:p>
      <w:pPr>
        <w:pStyle w:val="24"/>
        <w:spacing w:line="57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项目投入运营后应加强海洋生态环境跟踪监测，切实落实各项生态保护措施；认真落实环境风险防范措施，加强溢油应急设备管理与维护，确保发生溢油事故时能够及时、快速和有效处置；认真落实生态补偿要求，积极配合如东县按要求做好海洋生态补偿与修复工作，确保补偿资金专款专用。</w:t>
      </w:r>
    </w:p>
    <w:p>
      <w:pPr>
        <w:adjustRightInd w:val="0"/>
        <w:snapToGrid w:val="0"/>
        <w:spacing w:line="570" w:lineRule="exact"/>
        <w:rPr>
          <w:rFonts w:eastAsia="华文仿宋"/>
          <w:bCs/>
          <w:sz w:val="32"/>
          <w:szCs w:val="32"/>
        </w:rPr>
      </w:pPr>
    </w:p>
    <w:p>
      <w:pPr>
        <w:adjustRightInd w:val="0"/>
        <w:snapToGrid w:val="0"/>
        <w:spacing w:line="570" w:lineRule="exact"/>
        <w:rPr>
          <w:rFonts w:eastAsia="华文仿宋"/>
          <w:bCs/>
          <w:sz w:val="32"/>
          <w:szCs w:val="32"/>
        </w:rPr>
      </w:pPr>
    </w:p>
    <w:p>
      <w:pPr>
        <w:adjustRightInd w:val="0"/>
        <w:snapToGrid w:val="0"/>
        <w:spacing w:line="570" w:lineRule="exact"/>
        <w:jc w:val="right"/>
        <w:rPr>
          <w:rFonts w:eastAsia="方正仿宋_GBK"/>
          <w:bCs/>
          <w:sz w:val="32"/>
          <w:szCs w:val="32"/>
        </w:rPr>
      </w:pPr>
      <w:r>
        <w:rPr>
          <w:rFonts w:hint="eastAsia" w:eastAsia="方正仿宋_GBK"/>
          <w:bCs/>
          <w:sz w:val="32"/>
          <w:szCs w:val="32"/>
        </w:rPr>
        <w:t>南通市生态环境局</w:t>
      </w:r>
    </w:p>
    <w:p>
      <w:pPr>
        <w:adjustRightInd w:val="0"/>
        <w:snapToGrid w:val="0"/>
        <w:spacing w:line="590" w:lineRule="atLeast"/>
        <w:jc w:val="right"/>
        <w:rPr>
          <w:rFonts w:eastAsia="方正仿宋_GBK"/>
          <w:bCs/>
          <w:sz w:val="32"/>
          <w:szCs w:val="32"/>
        </w:rPr>
      </w:pPr>
      <w:r>
        <w:rPr>
          <w:rFonts w:hint="eastAsia" w:eastAsia="方正仿宋_GBK"/>
          <w:bCs/>
          <w:sz w:val="32"/>
          <w:szCs w:val="32"/>
        </w:rPr>
        <w:t>2023年12月</w:t>
      </w:r>
      <w:r>
        <w:rPr>
          <w:rFonts w:hint="eastAsia" w:eastAsia="方正仿宋_GBK"/>
          <w:bCs/>
          <w:sz w:val="32"/>
          <w:szCs w:val="32"/>
          <w:lang w:val="en-US" w:eastAsia="zh-CN"/>
        </w:rPr>
        <w:t>6</w:t>
      </w:r>
      <w:bookmarkStart w:id="4" w:name="_GoBack"/>
      <w:bookmarkEnd w:id="4"/>
      <w:r>
        <w:rPr>
          <w:rFonts w:hint="eastAsia" w:eastAsia="方正仿宋_GBK"/>
          <w:bCs/>
          <w:sz w:val="32"/>
          <w:szCs w:val="32"/>
        </w:rPr>
        <w:t>日</w:t>
      </w: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tbl>
      <w:tblPr>
        <w:tblStyle w:val="11"/>
        <w:tblW w:w="9039" w:type="dxa"/>
        <w:jc w:val="center"/>
        <w:tblBorders>
          <w:top w:val="single" w:color="auto" w:sz="4"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39"/>
      </w:tblGrid>
      <w:tr>
        <w:tblPrEx>
          <w:tblBorders>
            <w:top w:val="single" w:color="auto" w:sz="4"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7" w:hRule="atLeast"/>
          <w:jc w:val="center"/>
        </w:trPr>
        <w:tc>
          <w:tcPr>
            <w:tcW w:w="9039" w:type="dxa"/>
          </w:tcPr>
          <w:p>
            <w:pPr>
              <w:spacing w:line="590" w:lineRule="atLeast"/>
              <w:rPr>
                <w:rFonts w:eastAsia="华文仿宋"/>
                <w:bCs/>
                <w:sz w:val="32"/>
                <w:szCs w:val="32"/>
              </w:rPr>
            </w:pPr>
            <w:r>
              <w:rPr>
                <w:rFonts w:eastAsia="华文仿宋"/>
                <w:bCs/>
                <w:sz w:val="32"/>
                <w:szCs w:val="32"/>
              </w:rPr>
              <w:t>抄送：</w:t>
            </w:r>
            <w:r>
              <w:rPr>
                <w:rFonts w:hint="eastAsia" w:eastAsia="华文仿宋"/>
                <w:bCs/>
                <w:sz w:val="32"/>
                <w:szCs w:val="32"/>
              </w:rPr>
              <w:t>江苏省</w:t>
            </w:r>
            <w:r>
              <w:rPr>
                <w:rFonts w:hint="eastAsia" w:eastAsia="方正仿宋_GBK"/>
                <w:bCs/>
                <w:sz w:val="32"/>
                <w:szCs w:val="32"/>
              </w:rPr>
              <w:t>生态环境厅、如东县人民政府、南通市如东</w:t>
            </w:r>
            <w:r>
              <w:rPr>
                <w:rFonts w:hint="eastAsia" w:eastAsia="华文仿宋"/>
                <w:bCs/>
                <w:sz w:val="32"/>
                <w:szCs w:val="32"/>
              </w:rPr>
              <w:t>生态环境局</w:t>
            </w:r>
          </w:p>
        </w:tc>
      </w:tr>
    </w:tbl>
    <w:p>
      <w:pPr>
        <w:jc w:val="left"/>
        <w:rPr>
          <w:rFonts w:eastAsia="华文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37FAE01-E465-4673-B235-86B65B971345}"/>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2" w:fontKey="{8A1CB286-F423-4FAF-8DA8-577887B1661E}"/>
  </w:font>
  <w:font w:name="Cambria">
    <w:panose1 w:val="02040503050406030204"/>
    <w:charset w:val="00"/>
    <w:family w:val="roman"/>
    <w:pitch w:val="default"/>
    <w:sig w:usb0="E00006FF" w:usb1="420024FF" w:usb2="02000000" w:usb3="00000000" w:csb0="2000019F"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417E8A59-8D19-4C0A-A945-66FABC3CDAC6}"/>
  </w:font>
  <w:font w:name="仿宋">
    <w:panose1 w:val="02010609060101010101"/>
    <w:charset w:val="86"/>
    <w:family w:val="modern"/>
    <w:pitch w:val="default"/>
    <w:sig w:usb0="800002BF" w:usb1="38CF7CFA" w:usb2="00000016" w:usb3="00000000" w:csb0="00040001" w:csb1="00000000"/>
    <w:embedRegular r:id="rId4" w:fontKey="{97372AF3-3627-4D6F-AA0B-5D74863D8D19}"/>
  </w:font>
  <w:font w:name="华文仿宋">
    <w:panose1 w:val="02010600040101010101"/>
    <w:charset w:val="86"/>
    <w:family w:val="auto"/>
    <w:pitch w:val="default"/>
    <w:sig w:usb0="00000287" w:usb1="080F0000" w:usb2="00000000" w:usb3="00000000" w:csb0="0004009F" w:csb1="DFD70000"/>
    <w:embedRegular r:id="rId5" w:fontKey="{8052E683-B146-4259-B333-C6FF383F031D}"/>
  </w:font>
  <w:font w:name="方正黑体_GBK">
    <w:panose1 w:val="03000509000000000000"/>
    <w:charset w:val="86"/>
    <w:family w:val="script"/>
    <w:pitch w:val="default"/>
    <w:sig w:usb0="00000001" w:usb1="080E0000" w:usb2="00000000" w:usb3="00000000" w:csb0="00040000" w:csb1="00000000"/>
    <w:embedRegular r:id="rId6" w:fontKey="{8E196AAB-9215-49BD-AFAC-1B3084C6709C}"/>
  </w:font>
  <w:font w:name="方正楷体_GBK">
    <w:panose1 w:val="03000509000000000000"/>
    <w:charset w:val="86"/>
    <w:family w:val="script"/>
    <w:pitch w:val="default"/>
    <w:sig w:usb0="00000001" w:usb1="080E0000" w:usb2="00000000" w:usb3="00000000" w:csb0="00040000" w:csb1="00000000"/>
    <w:embedRegular r:id="rId7" w:fontKey="{F3245B2D-C80C-4686-93BC-348F2C46E0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59"/>
      <w:rPr>
        <w:rFonts w:ascii="Calibri" w:hAnsi="Calibri" w:cs="Calibri"/>
        <w:sz w:val="20"/>
        <w:szCs w:val="20"/>
      </w:rPr>
    </w:pPr>
    <w:r>
      <w:rPr>
        <w:sz w:val="20"/>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lkNjcwNDdkMDU5ZWUwM2QzMDg4ODE3MDhiYzkyMWUifQ=="/>
  </w:docVars>
  <w:rsids>
    <w:rsidRoot w:val="00172A27"/>
    <w:rsid w:val="00015206"/>
    <w:rsid w:val="00020BC7"/>
    <w:rsid w:val="00021E60"/>
    <w:rsid w:val="000264C7"/>
    <w:rsid w:val="00026907"/>
    <w:rsid w:val="00027FFB"/>
    <w:rsid w:val="00036D86"/>
    <w:rsid w:val="000415C1"/>
    <w:rsid w:val="000457B0"/>
    <w:rsid w:val="00077EEF"/>
    <w:rsid w:val="00082FB2"/>
    <w:rsid w:val="00090FC1"/>
    <w:rsid w:val="000A3596"/>
    <w:rsid w:val="000B15BE"/>
    <w:rsid w:val="000C4A78"/>
    <w:rsid w:val="000C6089"/>
    <w:rsid w:val="000C7FF7"/>
    <w:rsid w:val="00102944"/>
    <w:rsid w:val="001250B8"/>
    <w:rsid w:val="0012590C"/>
    <w:rsid w:val="0013043B"/>
    <w:rsid w:val="00134644"/>
    <w:rsid w:val="0014048D"/>
    <w:rsid w:val="00143C4D"/>
    <w:rsid w:val="001552FD"/>
    <w:rsid w:val="00163DEC"/>
    <w:rsid w:val="00172A27"/>
    <w:rsid w:val="00184069"/>
    <w:rsid w:val="00195F22"/>
    <w:rsid w:val="001B27B8"/>
    <w:rsid w:val="001C01F5"/>
    <w:rsid w:val="001C6262"/>
    <w:rsid w:val="001D2182"/>
    <w:rsid w:val="001D65AE"/>
    <w:rsid w:val="001E0963"/>
    <w:rsid w:val="002014E3"/>
    <w:rsid w:val="0020615D"/>
    <w:rsid w:val="00207C8E"/>
    <w:rsid w:val="00231156"/>
    <w:rsid w:val="00236D66"/>
    <w:rsid w:val="002403C9"/>
    <w:rsid w:val="00243290"/>
    <w:rsid w:val="00246A13"/>
    <w:rsid w:val="00281356"/>
    <w:rsid w:val="00282DCD"/>
    <w:rsid w:val="00287AA6"/>
    <w:rsid w:val="00297316"/>
    <w:rsid w:val="002A72A8"/>
    <w:rsid w:val="002C6457"/>
    <w:rsid w:val="002C6EAA"/>
    <w:rsid w:val="002C6FAA"/>
    <w:rsid w:val="002D456A"/>
    <w:rsid w:val="002D6C7E"/>
    <w:rsid w:val="002E32D2"/>
    <w:rsid w:val="002F0AFB"/>
    <w:rsid w:val="002F2CC2"/>
    <w:rsid w:val="002F5775"/>
    <w:rsid w:val="00302452"/>
    <w:rsid w:val="00311F99"/>
    <w:rsid w:val="003128FC"/>
    <w:rsid w:val="00317360"/>
    <w:rsid w:val="003222AD"/>
    <w:rsid w:val="00323477"/>
    <w:rsid w:val="00324B5D"/>
    <w:rsid w:val="00325BF5"/>
    <w:rsid w:val="0032756A"/>
    <w:rsid w:val="00344862"/>
    <w:rsid w:val="00350452"/>
    <w:rsid w:val="00357EE6"/>
    <w:rsid w:val="0037038F"/>
    <w:rsid w:val="00370D3E"/>
    <w:rsid w:val="003738EE"/>
    <w:rsid w:val="003851F9"/>
    <w:rsid w:val="00390958"/>
    <w:rsid w:val="003938E8"/>
    <w:rsid w:val="003A3E2E"/>
    <w:rsid w:val="003A67A0"/>
    <w:rsid w:val="003B6F05"/>
    <w:rsid w:val="003C13A7"/>
    <w:rsid w:val="003C1E4F"/>
    <w:rsid w:val="003C29B2"/>
    <w:rsid w:val="003C3586"/>
    <w:rsid w:val="003E0B2E"/>
    <w:rsid w:val="003E4B70"/>
    <w:rsid w:val="003E5FCA"/>
    <w:rsid w:val="003F7450"/>
    <w:rsid w:val="00406939"/>
    <w:rsid w:val="00412E4B"/>
    <w:rsid w:val="0041484A"/>
    <w:rsid w:val="00443FD4"/>
    <w:rsid w:val="00463AA0"/>
    <w:rsid w:val="0047062C"/>
    <w:rsid w:val="0047135C"/>
    <w:rsid w:val="004750B4"/>
    <w:rsid w:val="00484977"/>
    <w:rsid w:val="0048636B"/>
    <w:rsid w:val="00487290"/>
    <w:rsid w:val="00493549"/>
    <w:rsid w:val="004952CE"/>
    <w:rsid w:val="004A00D8"/>
    <w:rsid w:val="004A08F1"/>
    <w:rsid w:val="004A530F"/>
    <w:rsid w:val="004A6ADC"/>
    <w:rsid w:val="004B44E4"/>
    <w:rsid w:val="004F05A7"/>
    <w:rsid w:val="004F6410"/>
    <w:rsid w:val="004F6DFA"/>
    <w:rsid w:val="00502B34"/>
    <w:rsid w:val="0051146A"/>
    <w:rsid w:val="00523FF5"/>
    <w:rsid w:val="005242F2"/>
    <w:rsid w:val="0052472D"/>
    <w:rsid w:val="005329D6"/>
    <w:rsid w:val="00537B94"/>
    <w:rsid w:val="00550210"/>
    <w:rsid w:val="00562D17"/>
    <w:rsid w:val="00564C16"/>
    <w:rsid w:val="00566C49"/>
    <w:rsid w:val="005A115B"/>
    <w:rsid w:val="005A506B"/>
    <w:rsid w:val="005C121D"/>
    <w:rsid w:val="005C1994"/>
    <w:rsid w:val="005C2F2F"/>
    <w:rsid w:val="005C61EB"/>
    <w:rsid w:val="005E27F1"/>
    <w:rsid w:val="005E6025"/>
    <w:rsid w:val="005E6A21"/>
    <w:rsid w:val="005F7BD7"/>
    <w:rsid w:val="006048A5"/>
    <w:rsid w:val="00604986"/>
    <w:rsid w:val="00606339"/>
    <w:rsid w:val="00610DFA"/>
    <w:rsid w:val="006271FE"/>
    <w:rsid w:val="006B11E4"/>
    <w:rsid w:val="006B3533"/>
    <w:rsid w:val="006C2484"/>
    <w:rsid w:val="006C52A3"/>
    <w:rsid w:val="006D56BC"/>
    <w:rsid w:val="006F057F"/>
    <w:rsid w:val="006F281F"/>
    <w:rsid w:val="007037BB"/>
    <w:rsid w:val="00705672"/>
    <w:rsid w:val="007448B1"/>
    <w:rsid w:val="00773114"/>
    <w:rsid w:val="00774D5D"/>
    <w:rsid w:val="0078031A"/>
    <w:rsid w:val="007A5DE3"/>
    <w:rsid w:val="007A7FC7"/>
    <w:rsid w:val="007C3737"/>
    <w:rsid w:val="007C7190"/>
    <w:rsid w:val="007D2615"/>
    <w:rsid w:val="007E4CB5"/>
    <w:rsid w:val="007F6E1D"/>
    <w:rsid w:val="00801C3A"/>
    <w:rsid w:val="00816820"/>
    <w:rsid w:val="0081740D"/>
    <w:rsid w:val="008212D3"/>
    <w:rsid w:val="00822093"/>
    <w:rsid w:val="0083029B"/>
    <w:rsid w:val="0084021E"/>
    <w:rsid w:val="0084328B"/>
    <w:rsid w:val="0084606E"/>
    <w:rsid w:val="008525EA"/>
    <w:rsid w:val="008666A6"/>
    <w:rsid w:val="00882469"/>
    <w:rsid w:val="00882607"/>
    <w:rsid w:val="008863B9"/>
    <w:rsid w:val="00890A8F"/>
    <w:rsid w:val="00892F13"/>
    <w:rsid w:val="00893B51"/>
    <w:rsid w:val="008B4CA4"/>
    <w:rsid w:val="008B7F2C"/>
    <w:rsid w:val="008F288D"/>
    <w:rsid w:val="0090019C"/>
    <w:rsid w:val="00900C04"/>
    <w:rsid w:val="00906941"/>
    <w:rsid w:val="00916C0F"/>
    <w:rsid w:val="00920700"/>
    <w:rsid w:val="009264F2"/>
    <w:rsid w:val="0093445D"/>
    <w:rsid w:val="0094071F"/>
    <w:rsid w:val="00942D5C"/>
    <w:rsid w:val="00944BB6"/>
    <w:rsid w:val="00950896"/>
    <w:rsid w:val="00964D2C"/>
    <w:rsid w:val="00966902"/>
    <w:rsid w:val="00967333"/>
    <w:rsid w:val="00982E86"/>
    <w:rsid w:val="00985CA7"/>
    <w:rsid w:val="009A799B"/>
    <w:rsid w:val="009B34DB"/>
    <w:rsid w:val="009B5254"/>
    <w:rsid w:val="009C637C"/>
    <w:rsid w:val="009C7539"/>
    <w:rsid w:val="009D68D3"/>
    <w:rsid w:val="009E27D5"/>
    <w:rsid w:val="009E48FF"/>
    <w:rsid w:val="009E509D"/>
    <w:rsid w:val="009F1B81"/>
    <w:rsid w:val="009F72B9"/>
    <w:rsid w:val="00A07D99"/>
    <w:rsid w:val="00A11EED"/>
    <w:rsid w:val="00A26AC5"/>
    <w:rsid w:val="00A3355C"/>
    <w:rsid w:val="00A33EC2"/>
    <w:rsid w:val="00A409A0"/>
    <w:rsid w:val="00A51F04"/>
    <w:rsid w:val="00A63D6B"/>
    <w:rsid w:val="00A659AD"/>
    <w:rsid w:val="00A71B7A"/>
    <w:rsid w:val="00A723C0"/>
    <w:rsid w:val="00A76A39"/>
    <w:rsid w:val="00A87098"/>
    <w:rsid w:val="00A9438D"/>
    <w:rsid w:val="00AA47A4"/>
    <w:rsid w:val="00AB6411"/>
    <w:rsid w:val="00AC5081"/>
    <w:rsid w:val="00AD5433"/>
    <w:rsid w:val="00AE1D0E"/>
    <w:rsid w:val="00AE2D56"/>
    <w:rsid w:val="00AE65EA"/>
    <w:rsid w:val="00B04531"/>
    <w:rsid w:val="00B06B6C"/>
    <w:rsid w:val="00B2253C"/>
    <w:rsid w:val="00B33E91"/>
    <w:rsid w:val="00B37E82"/>
    <w:rsid w:val="00B40383"/>
    <w:rsid w:val="00B412A0"/>
    <w:rsid w:val="00B44316"/>
    <w:rsid w:val="00B50693"/>
    <w:rsid w:val="00B61274"/>
    <w:rsid w:val="00B61939"/>
    <w:rsid w:val="00B62061"/>
    <w:rsid w:val="00B6657D"/>
    <w:rsid w:val="00B85A64"/>
    <w:rsid w:val="00B96C57"/>
    <w:rsid w:val="00BA6462"/>
    <w:rsid w:val="00BB2E38"/>
    <w:rsid w:val="00BC02DC"/>
    <w:rsid w:val="00BC23D7"/>
    <w:rsid w:val="00BD3FB6"/>
    <w:rsid w:val="00BD4D9A"/>
    <w:rsid w:val="00BE013E"/>
    <w:rsid w:val="00BE6757"/>
    <w:rsid w:val="00BF7D83"/>
    <w:rsid w:val="00C119C6"/>
    <w:rsid w:val="00C25A9A"/>
    <w:rsid w:val="00C40F56"/>
    <w:rsid w:val="00C45D91"/>
    <w:rsid w:val="00C51745"/>
    <w:rsid w:val="00C60709"/>
    <w:rsid w:val="00C63369"/>
    <w:rsid w:val="00C703D3"/>
    <w:rsid w:val="00C96E51"/>
    <w:rsid w:val="00CB6CA7"/>
    <w:rsid w:val="00CD3007"/>
    <w:rsid w:val="00CD7349"/>
    <w:rsid w:val="00CF1639"/>
    <w:rsid w:val="00CF1AEC"/>
    <w:rsid w:val="00CF37D1"/>
    <w:rsid w:val="00D042E8"/>
    <w:rsid w:val="00D068D8"/>
    <w:rsid w:val="00D06B12"/>
    <w:rsid w:val="00D12041"/>
    <w:rsid w:val="00D25A78"/>
    <w:rsid w:val="00D27889"/>
    <w:rsid w:val="00D36A82"/>
    <w:rsid w:val="00D400E5"/>
    <w:rsid w:val="00D4474F"/>
    <w:rsid w:val="00D47762"/>
    <w:rsid w:val="00D57206"/>
    <w:rsid w:val="00D57955"/>
    <w:rsid w:val="00D57BD0"/>
    <w:rsid w:val="00D66E1B"/>
    <w:rsid w:val="00D740ED"/>
    <w:rsid w:val="00D761D0"/>
    <w:rsid w:val="00D773C6"/>
    <w:rsid w:val="00D85B2F"/>
    <w:rsid w:val="00D87985"/>
    <w:rsid w:val="00DA1445"/>
    <w:rsid w:val="00DB012B"/>
    <w:rsid w:val="00DB3F2E"/>
    <w:rsid w:val="00DC5FB3"/>
    <w:rsid w:val="00DC7419"/>
    <w:rsid w:val="00DD6C45"/>
    <w:rsid w:val="00DD7058"/>
    <w:rsid w:val="00E00E1E"/>
    <w:rsid w:val="00E06E45"/>
    <w:rsid w:val="00E072A1"/>
    <w:rsid w:val="00E12E92"/>
    <w:rsid w:val="00E15F0E"/>
    <w:rsid w:val="00E278E9"/>
    <w:rsid w:val="00E27E15"/>
    <w:rsid w:val="00E32524"/>
    <w:rsid w:val="00E37929"/>
    <w:rsid w:val="00E424BD"/>
    <w:rsid w:val="00E44987"/>
    <w:rsid w:val="00E45D8F"/>
    <w:rsid w:val="00E54735"/>
    <w:rsid w:val="00E55F5B"/>
    <w:rsid w:val="00E566F1"/>
    <w:rsid w:val="00E623DE"/>
    <w:rsid w:val="00E72991"/>
    <w:rsid w:val="00E834CC"/>
    <w:rsid w:val="00E867D7"/>
    <w:rsid w:val="00E91BFF"/>
    <w:rsid w:val="00E95105"/>
    <w:rsid w:val="00EB2CD2"/>
    <w:rsid w:val="00EB56C8"/>
    <w:rsid w:val="00EC6281"/>
    <w:rsid w:val="00EC6956"/>
    <w:rsid w:val="00EC6976"/>
    <w:rsid w:val="00ED3B43"/>
    <w:rsid w:val="00EE0E56"/>
    <w:rsid w:val="00EE14A7"/>
    <w:rsid w:val="00F0136C"/>
    <w:rsid w:val="00F04382"/>
    <w:rsid w:val="00F122DC"/>
    <w:rsid w:val="00F13B0D"/>
    <w:rsid w:val="00F31257"/>
    <w:rsid w:val="00F408EB"/>
    <w:rsid w:val="00F45253"/>
    <w:rsid w:val="00F46C13"/>
    <w:rsid w:val="00F579B2"/>
    <w:rsid w:val="00F77420"/>
    <w:rsid w:val="00F823A1"/>
    <w:rsid w:val="00F864FE"/>
    <w:rsid w:val="00F9246C"/>
    <w:rsid w:val="00FA0572"/>
    <w:rsid w:val="00FA2633"/>
    <w:rsid w:val="00FA7285"/>
    <w:rsid w:val="00FB02A8"/>
    <w:rsid w:val="00FC1D41"/>
    <w:rsid w:val="00FC2BD1"/>
    <w:rsid w:val="00FD46CD"/>
    <w:rsid w:val="00FF1782"/>
    <w:rsid w:val="00FF4FBD"/>
    <w:rsid w:val="016F4359"/>
    <w:rsid w:val="01EA0541"/>
    <w:rsid w:val="02DB05BD"/>
    <w:rsid w:val="06023CB9"/>
    <w:rsid w:val="06815CB1"/>
    <w:rsid w:val="072916E2"/>
    <w:rsid w:val="076F023F"/>
    <w:rsid w:val="08274879"/>
    <w:rsid w:val="0A6C55BC"/>
    <w:rsid w:val="0CA257D5"/>
    <w:rsid w:val="0E846622"/>
    <w:rsid w:val="0F5A453C"/>
    <w:rsid w:val="11C2177D"/>
    <w:rsid w:val="153B4ABB"/>
    <w:rsid w:val="174B55BB"/>
    <w:rsid w:val="18B167CC"/>
    <w:rsid w:val="1A1F6BE5"/>
    <w:rsid w:val="1AEF3A33"/>
    <w:rsid w:val="1BD5229A"/>
    <w:rsid w:val="1D600239"/>
    <w:rsid w:val="1EF03D4E"/>
    <w:rsid w:val="203A6023"/>
    <w:rsid w:val="204D6D9F"/>
    <w:rsid w:val="209C7B96"/>
    <w:rsid w:val="214D4A19"/>
    <w:rsid w:val="215E27F5"/>
    <w:rsid w:val="21696C84"/>
    <w:rsid w:val="218762DA"/>
    <w:rsid w:val="21A40741"/>
    <w:rsid w:val="2583514D"/>
    <w:rsid w:val="25835E35"/>
    <w:rsid w:val="26F063B9"/>
    <w:rsid w:val="27267B08"/>
    <w:rsid w:val="27CF4FC9"/>
    <w:rsid w:val="27EB2370"/>
    <w:rsid w:val="2A5532CB"/>
    <w:rsid w:val="2AEE5A35"/>
    <w:rsid w:val="2B916FE0"/>
    <w:rsid w:val="2B99138A"/>
    <w:rsid w:val="2BFE3BC7"/>
    <w:rsid w:val="31344448"/>
    <w:rsid w:val="32D810E4"/>
    <w:rsid w:val="336D4581"/>
    <w:rsid w:val="33AD1E58"/>
    <w:rsid w:val="349A5CE7"/>
    <w:rsid w:val="34EF30C9"/>
    <w:rsid w:val="3645211F"/>
    <w:rsid w:val="375114EA"/>
    <w:rsid w:val="37CD1A77"/>
    <w:rsid w:val="38651556"/>
    <w:rsid w:val="38811058"/>
    <w:rsid w:val="38842BDB"/>
    <w:rsid w:val="392044CE"/>
    <w:rsid w:val="3AB111F7"/>
    <w:rsid w:val="3B5E74BB"/>
    <w:rsid w:val="3BA7366E"/>
    <w:rsid w:val="3CCD524B"/>
    <w:rsid w:val="3CFC3C89"/>
    <w:rsid w:val="3F121119"/>
    <w:rsid w:val="3FD730B5"/>
    <w:rsid w:val="415728E8"/>
    <w:rsid w:val="42D134AB"/>
    <w:rsid w:val="43FB5A18"/>
    <w:rsid w:val="44A53920"/>
    <w:rsid w:val="44BC2308"/>
    <w:rsid w:val="45D33C64"/>
    <w:rsid w:val="469F1EA4"/>
    <w:rsid w:val="487A278D"/>
    <w:rsid w:val="49BB0E74"/>
    <w:rsid w:val="4A9C25B0"/>
    <w:rsid w:val="4C31392D"/>
    <w:rsid w:val="4D8130BB"/>
    <w:rsid w:val="4E595A68"/>
    <w:rsid w:val="509500C1"/>
    <w:rsid w:val="50AF0EA8"/>
    <w:rsid w:val="53A35875"/>
    <w:rsid w:val="55CD1977"/>
    <w:rsid w:val="56B909AE"/>
    <w:rsid w:val="56E706E0"/>
    <w:rsid w:val="5D4249A6"/>
    <w:rsid w:val="5D9B04A1"/>
    <w:rsid w:val="5F606150"/>
    <w:rsid w:val="604C7A9C"/>
    <w:rsid w:val="6054534C"/>
    <w:rsid w:val="62286042"/>
    <w:rsid w:val="62532015"/>
    <w:rsid w:val="645E1111"/>
    <w:rsid w:val="659C4CFC"/>
    <w:rsid w:val="679317CA"/>
    <w:rsid w:val="68EA48C2"/>
    <w:rsid w:val="69F1218F"/>
    <w:rsid w:val="6B6445EA"/>
    <w:rsid w:val="6BD96E12"/>
    <w:rsid w:val="6C940C20"/>
    <w:rsid w:val="6DDD3F60"/>
    <w:rsid w:val="6F7C6E41"/>
    <w:rsid w:val="6F8D6E36"/>
    <w:rsid w:val="707B687D"/>
    <w:rsid w:val="7120166B"/>
    <w:rsid w:val="715A1BEC"/>
    <w:rsid w:val="71F03F8A"/>
    <w:rsid w:val="72166732"/>
    <w:rsid w:val="7496678D"/>
    <w:rsid w:val="772E55ED"/>
    <w:rsid w:val="7981226C"/>
    <w:rsid w:val="79C1351A"/>
    <w:rsid w:val="7B484FED"/>
    <w:rsid w:val="7B9C284F"/>
    <w:rsid w:val="7CB14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overflowPunct w:val="0"/>
      <w:adjustRightInd w:val="0"/>
      <w:snapToGrid w:val="0"/>
      <w:ind w:firstLine="199" w:firstLineChars="66"/>
      <w:outlineLvl w:val="1"/>
    </w:pPr>
    <w:rPr>
      <w:rFonts w:eastAsia="楷体"/>
      <w:b/>
      <w:sz w:val="30"/>
      <w:szCs w:val="30"/>
      <w:lang w:bidi="en-US"/>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4"/>
    <w:unhideWhenUsed/>
    <w:qFormat/>
    <w:uiPriority w:val="0"/>
    <w:pPr>
      <w:autoSpaceDE w:val="0"/>
      <w:autoSpaceDN w:val="0"/>
      <w:snapToGrid w:val="0"/>
      <w:spacing w:line="590" w:lineRule="atLeast"/>
      <w:ind w:firstLine="624"/>
      <w:jc w:val="left"/>
    </w:pPr>
    <w:rPr>
      <w:rFonts w:eastAsia="方正仿宋_GBK"/>
      <w:snapToGrid w:val="0"/>
      <w:kern w:val="0"/>
      <w:sz w:val="32"/>
      <w:szCs w:val="20"/>
    </w:rPr>
  </w:style>
  <w:style w:type="paragraph" w:styleId="5">
    <w:name w:val="Date"/>
    <w:basedOn w:val="1"/>
    <w:next w:val="1"/>
    <w:link w:val="15"/>
    <w:unhideWhenUsed/>
    <w:qFormat/>
    <w:uiPriority w:val="99"/>
    <w:pPr>
      <w:ind w:left="100" w:leftChars="2500"/>
    </w:pPr>
  </w:style>
  <w:style w:type="paragraph" w:styleId="6">
    <w:name w:val="Balloon Text"/>
    <w:basedOn w:val="1"/>
    <w:link w:val="16"/>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qFormat/>
    <w:uiPriority w:val="0"/>
    <w:pPr>
      <w:spacing w:before="240" w:after="60"/>
      <w:jc w:val="center"/>
    </w:pPr>
    <w:rPr>
      <w:rFonts w:ascii="Cambria" w:hAnsi="Cambria"/>
      <w:b/>
      <w:bCs/>
      <w:sz w:val="36"/>
      <w:szCs w:val="32"/>
    </w:rPr>
  </w:style>
  <w:style w:type="character" w:styleId="13">
    <w:name w:val="annotation reference"/>
    <w:unhideWhenUsed/>
    <w:qFormat/>
    <w:uiPriority w:val="0"/>
    <w:rPr>
      <w:sz w:val="21"/>
      <w:szCs w:val="21"/>
    </w:rPr>
  </w:style>
  <w:style w:type="character" w:customStyle="1" w:styleId="14">
    <w:name w:val="批注文字 Char"/>
    <w:link w:val="4"/>
    <w:qFormat/>
    <w:uiPriority w:val="0"/>
    <w:rPr>
      <w:rFonts w:eastAsia="方正仿宋_GBK"/>
      <w:snapToGrid w:val="0"/>
      <w:sz w:val="32"/>
    </w:rPr>
  </w:style>
  <w:style w:type="character" w:customStyle="1" w:styleId="15">
    <w:name w:val="日期 Char"/>
    <w:link w:val="5"/>
    <w:semiHidden/>
    <w:qFormat/>
    <w:uiPriority w:val="99"/>
    <w:rPr>
      <w:kern w:val="2"/>
      <w:sz w:val="21"/>
      <w:szCs w:val="24"/>
    </w:rPr>
  </w:style>
  <w:style w:type="character" w:customStyle="1" w:styleId="16">
    <w:name w:val="批注框文本 Char"/>
    <w:link w:val="6"/>
    <w:semiHidden/>
    <w:qFormat/>
    <w:uiPriority w:val="99"/>
    <w:rPr>
      <w:kern w:val="2"/>
      <w:sz w:val="18"/>
      <w:szCs w:val="18"/>
    </w:rPr>
  </w:style>
  <w:style w:type="character" w:customStyle="1" w:styleId="17">
    <w:name w:val="页脚 Char"/>
    <w:link w:val="7"/>
    <w:qFormat/>
    <w:uiPriority w:val="99"/>
    <w:rPr>
      <w:kern w:val="2"/>
      <w:sz w:val="18"/>
      <w:szCs w:val="18"/>
    </w:rPr>
  </w:style>
  <w:style w:type="character" w:customStyle="1" w:styleId="18">
    <w:name w:val="页眉 Char"/>
    <w:link w:val="8"/>
    <w:semiHidden/>
    <w:qFormat/>
    <w:uiPriority w:val="0"/>
    <w:rPr>
      <w:kern w:val="2"/>
      <w:sz w:val="18"/>
      <w:szCs w:val="18"/>
    </w:rPr>
  </w:style>
  <w:style w:type="character" w:customStyle="1" w:styleId="19">
    <w:name w:val="font11"/>
    <w:qFormat/>
    <w:uiPriority w:val="0"/>
    <w:rPr>
      <w:rFonts w:ascii="方正仿宋_GBK" w:hAnsi="方正仿宋_GBK" w:eastAsia="方正仿宋_GBK" w:cs="方正仿宋_GBK"/>
      <w:color w:val="000000"/>
      <w:sz w:val="28"/>
      <w:szCs w:val="28"/>
      <w:u w:val="none"/>
    </w:rPr>
  </w:style>
  <w:style w:type="paragraph" w:customStyle="1" w:styleId="20">
    <w:name w:val="密级"/>
    <w:basedOn w:val="1"/>
    <w:qFormat/>
    <w:uiPriority w:val="0"/>
    <w:pPr>
      <w:adjustRightInd w:val="0"/>
      <w:spacing w:line="425" w:lineRule="atLeast"/>
      <w:jc w:val="right"/>
    </w:pPr>
    <w:rPr>
      <w:rFonts w:ascii="黑体" w:eastAsia="黑体"/>
      <w:sz w:val="30"/>
    </w:rPr>
  </w:style>
  <w:style w:type="paragraph" w:customStyle="1" w:styleId="21">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2">
    <w:name w:val="红线"/>
    <w:basedOn w:val="2"/>
    <w:qFormat/>
    <w:uiPriority w:val="0"/>
    <w:pPr>
      <w:keepNext w:val="0"/>
      <w:keepLines w:val="0"/>
      <w:adjustRightInd w:val="0"/>
      <w:spacing w:before="0" w:after="851" w:line="227" w:lineRule="atLeast"/>
      <w:ind w:right="-142"/>
      <w:jc w:val="center"/>
      <w:outlineLvl w:val="9"/>
    </w:pPr>
    <w:rPr>
      <w:rFonts w:ascii="宋体"/>
      <w:bCs w:val="0"/>
      <w:kern w:val="0"/>
      <w:sz w:val="10"/>
      <w:szCs w:val="20"/>
    </w:rPr>
  </w:style>
  <w:style w:type="paragraph" w:styleId="23">
    <w:name w:val="List Paragraph"/>
    <w:basedOn w:val="1"/>
    <w:qFormat/>
    <w:uiPriority w:val="0"/>
    <w:pPr>
      <w:ind w:firstLine="420" w:firstLineChars="200"/>
    </w:pPr>
    <w:rPr>
      <w:rFonts w:ascii="Calibri" w:hAnsi="Calibri"/>
      <w:szCs w:val="22"/>
    </w:rPr>
  </w:style>
  <w:style w:type="paragraph" w:customStyle="1" w:styleId="24">
    <w:name w:val="_Style 21"/>
    <w:basedOn w:val="1"/>
    <w:next w:val="23"/>
    <w:qFormat/>
    <w:uiPriority w:val="0"/>
    <w:pPr>
      <w:ind w:firstLine="420" w:firstLineChars="200"/>
    </w:pPr>
    <w:rPr>
      <w:rFonts w:ascii="Calibri" w:hAnsi="Calibri"/>
      <w:szCs w:val="22"/>
    </w:rPr>
  </w:style>
  <w:style w:type="paragraph" w:customStyle="1" w:styleId="25">
    <w:name w:val="标题22"/>
    <w:basedOn w:val="3"/>
    <w:qFormat/>
    <w:uiPriority w:val="0"/>
    <w:pPr>
      <w:ind w:firstLine="0" w:firstLineChars="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357</Words>
  <Characters>2035</Characters>
  <Lines>16</Lines>
  <Paragraphs>4</Paragraphs>
  <TotalTime>71</TotalTime>
  <ScaleCrop>false</ScaleCrop>
  <LinksUpToDate>false</LinksUpToDate>
  <CharactersWithSpaces>2388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2023-12-05T06:35:00Z</dcterms:created>
  <dc:creator>Administrator</dc:creator>
  <cp:lastModifiedBy>winter tea</cp:lastModifiedBy>
  <cp:lastPrinted>2023-11-29T04:06:00Z</cp:lastPrinted>
  <dcterms:modified xsi:type="dcterms:W3CDTF">2023-12-06T07:09:40Z</dcterms:modified>
  <dc:title>关于如东县南黄海竞技基地——滩涂极限运动体验区海洋环境影响评价报告表的</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7A93E977B0F2438DB792C0665B246E38_13</vt:lpwstr>
  </property>
  <property fmtid="{D5CDD505-2E9C-101B-9397-08002B2CF9AE}" pid="4" name="commondata">
    <vt:lpwstr>eyJoZGlkIjoiOTI0ZDRhM2YxYWMzZWE1YzZiNGVjMDBmNTM1ODkzYmQifQ==</vt:lpwstr>
  </property>
</Properties>
</file>