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FDB6C">
      <w:pPr>
        <w:tabs>
          <w:tab w:val="left" w:pos="5760"/>
          <w:tab w:val="left" w:pos="6300"/>
        </w:tabs>
        <w:spacing w:line="360" w:lineRule="auto"/>
        <w:jc w:val="center"/>
        <w:rPr>
          <w:rFonts w:ascii="Times New Roman" w:hAnsi="Times New Roman"/>
          <w:color w:val="000000" w:themeColor="text1"/>
          <w:sz w:val="44"/>
          <w:szCs w:val="44"/>
          <w14:textFill>
            <w14:solidFill>
              <w14:schemeClr w14:val="tx1"/>
            </w14:solidFill>
          </w14:textFill>
        </w:rPr>
      </w:pPr>
    </w:p>
    <w:p w14:paraId="72117DEC">
      <w:pPr>
        <w:spacing w:line="360" w:lineRule="auto"/>
        <w:jc w:val="center"/>
        <w:rPr>
          <w:rFonts w:ascii="Times New Roman" w:hAnsi="Times New Roman"/>
          <w:b/>
          <w:color w:val="000000" w:themeColor="text1"/>
          <w:sz w:val="48"/>
          <w:szCs w:val="72"/>
          <w14:textFill>
            <w14:solidFill>
              <w14:schemeClr w14:val="tx1"/>
            </w14:solidFill>
          </w14:textFill>
        </w:rPr>
      </w:pPr>
    </w:p>
    <w:p w14:paraId="21B1D8C0">
      <w:pPr>
        <w:spacing w:line="360" w:lineRule="auto"/>
        <w:jc w:val="center"/>
        <w:rPr>
          <w:rFonts w:hint="eastAsia" w:ascii="Times New Roman" w:hAnsi="Times New Roman"/>
          <w:b/>
          <w:color w:val="000000" w:themeColor="text1"/>
          <w:sz w:val="48"/>
          <w:szCs w:val="72"/>
          <w14:textFill>
            <w14:solidFill>
              <w14:schemeClr w14:val="tx1"/>
            </w14:solidFill>
          </w14:textFill>
        </w:rPr>
      </w:pPr>
      <w:r>
        <w:rPr>
          <w:rFonts w:hint="eastAsia" w:ascii="Times New Roman" w:hAnsi="Times New Roman"/>
          <w:b/>
          <w:color w:val="000000" w:themeColor="text1"/>
          <w:sz w:val="48"/>
          <w:szCs w:val="72"/>
          <w14:textFill>
            <w14:solidFill>
              <w14:schemeClr w14:val="tx1"/>
            </w14:solidFill>
          </w14:textFill>
        </w:rPr>
        <w:t>2026年南通市核与辐射建设项目环评文件</w:t>
      </w:r>
    </w:p>
    <w:p w14:paraId="0DC1E953">
      <w:pPr>
        <w:spacing w:line="360" w:lineRule="auto"/>
        <w:jc w:val="center"/>
        <w:rPr>
          <w:rFonts w:ascii="Times New Roman" w:hAnsi="Times New Roman"/>
          <w:b/>
          <w:color w:val="000000" w:themeColor="text1"/>
          <w:sz w:val="72"/>
          <w:szCs w:val="56"/>
          <w14:textFill>
            <w14:solidFill>
              <w14:schemeClr w14:val="tx1"/>
            </w14:solidFill>
          </w14:textFill>
        </w:rPr>
      </w:pPr>
      <w:r>
        <w:rPr>
          <w:rFonts w:hint="eastAsia" w:ascii="Times New Roman" w:hAnsi="Times New Roman"/>
          <w:b/>
          <w:color w:val="000000" w:themeColor="text1"/>
          <w:sz w:val="48"/>
          <w:szCs w:val="72"/>
          <w14:textFill>
            <w14:solidFill>
              <w14:schemeClr w14:val="tx1"/>
            </w14:solidFill>
          </w14:textFill>
        </w:rPr>
        <w:t>委托技术评估项目</w:t>
      </w:r>
    </w:p>
    <w:p w14:paraId="6320CC73">
      <w:pPr>
        <w:pStyle w:val="222"/>
        <w:rPr>
          <w:color w:val="000000" w:themeColor="text1"/>
          <w14:textFill>
            <w14:solidFill>
              <w14:schemeClr w14:val="tx1"/>
            </w14:solidFill>
          </w14:textFill>
        </w:rPr>
      </w:pPr>
    </w:p>
    <w:p w14:paraId="66E3B166">
      <w:pPr>
        <w:rPr>
          <w:color w:val="000000" w:themeColor="text1"/>
          <w14:textFill>
            <w14:solidFill>
              <w14:schemeClr w14:val="tx1"/>
            </w14:solidFill>
          </w14:textFill>
        </w:rPr>
      </w:pPr>
    </w:p>
    <w:p w14:paraId="6C41E40C">
      <w:pPr>
        <w:rPr>
          <w:color w:val="000000" w:themeColor="text1"/>
          <w14:textFill>
            <w14:solidFill>
              <w14:schemeClr w14:val="tx1"/>
            </w14:solidFill>
          </w14:textFill>
        </w:rPr>
      </w:pPr>
    </w:p>
    <w:p w14:paraId="4EEB11AD">
      <w:pPr>
        <w:rPr>
          <w:color w:val="000000" w:themeColor="text1"/>
          <w14:textFill>
            <w14:solidFill>
              <w14:schemeClr w14:val="tx1"/>
            </w14:solidFill>
          </w14:textFill>
        </w:rPr>
      </w:pPr>
    </w:p>
    <w:p w14:paraId="6009042A">
      <w:pPr>
        <w:rPr>
          <w:color w:val="000000" w:themeColor="text1"/>
          <w14:textFill>
            <w14:solidFill>
              <w14:schemeClr w14:val="tx1"/>
            </w14:solidFill>
          </w14:textFill>
        </w:rPr>
      </w:pPr>
    </w:p>
    <w:p w14:paraId="2C2D4D52">
      <w:pPr>
        <w:rPr>
          <w:color w:val="000000" w:themeColor="text1"/>
          <w14:textFill>
            <w14:solidFill>
              <w14:schemeClr w14:val="tx1"/>
            </w14:solidFill>
          </w14:textFill>
        </w:rPr>
      </w:pPr>
    </w:p>
    <w:p w14:paraId="784C5504">
      <w:pPr>
        <w:rPr>
          <w:color w:val="000000" w:themeColor="text1"/>
          <w14:textFill>
            <w14:solidFill>
              <w14:schemeClr w14:val="tx1"/>
            </w14:solidFill>
          </w14:textFill>
        </w:rPr>
      </w:pPr>
    </w:p>
    <w:p w14:paraId="7C503390">
      <w:pPr>
        <w:spacing w:line="360" w:lineRule="auto"/>
        <w:jc w:val="center"/>
        <w:rPr>
          <w:rFonts w:ascii="Times New Roman" w:hAnsi="Times New Roman"/>
          <w:b/>
          <w:color w:val="000000" w:themeColor="text1"/>
          <w:sz w:val="72"/>
          <w:szCs w:val="56"/>
          <w14:textFill>
            <w14:solidFill>
              <w14:schemeClr w14:val="tx1"/>
            </w14:solidFill>
          </w14:textFill>
        </w:rPr>
      </w:pPr>
      <w:r>
        <w:rPr>
          <w:rFonts w:ascii="Times New Roman" w:hAnsi="Times New Roman"/>
          <w:b/>
          <w:color w:val="000000" w:themeColor="text1"/>
          <w:sz w:val="72"/>
          <w:szCs w:val="56"/>
          <w14:textFill>
            <w14:solidFill>
              <w14:schemeClr w14:val="tx1"/>
            </w14:solidFill>
          </w14:textFill>
        </w:rPr>
        <w:t>竞争性磋商文件</w:t>
      </w:r>
    </w:p>
    <w:p w14:paraId="6708C953">
      <w:pPr>
        <w:spacing w:line="360" w:lineRule="auto"/>
        <w:jc w:val="center"/>
        <w:rPr>
          <w:rFonts w:hint="eastAsia" w:ascii="Times New Roman" w:hAnsi="Times New Roman"/>
          <w:b w:val="0"/>
          <w:bCs/>
          <w:sz w:val="24"/>
          <w:szCs w:val="24"/>
          <w:lang w:eastAsia="zh-CN"/>
        </w:rPr>
      </w:pPr>
      <w:r>
        <w:rPr>
          <w:rFonts w:hint="eastAsia" w:ascii="Times New Roman" w:hAnsi="Times New Roman"/>
          <w:bCs/>
          <w:sz w:val="24"/>
          <w:szCs w:val="24"/>
        </w:rPr>
        <w:t>编号：</w:t>
      </w:r>
      <w:r>
        <w:rPr>
          <w:rFonts w:hint="eastAsia" w:ascii="Times New Roman" w:hAnsi="Times New Roman" w:eastAsia="宋体" w:cs="Times New Roman"/>
          <w:bCs/>
          <w:sz w:val="24"/>
          <w:szCs w:val="24"/>
        </w:rPr>
        <w:t>WY-20260306-005</w:t>
      </w:r>
    </w:p>
    <w:p w14:paraId="7375E915">
      <w:pPr>
        <w:spacing w:line="360" w:lineRule="auto"/>
        <w:jc w:val="center"/>
        <w:rPr>
          <w:rFonts w:ascii="Times New Roman" w:hAnsi="Times New Roman"/>
          <w:b/>
          <w:color w:val="000000" w:themeColor="text1"/>
          <w:sz w:val="36"/>
          <w14:textFill>
            <w14:solidFill>
              <w14:schemeClr w14:val="tx1"/>
            </w14:solidFill>
          </w14:textFill>
        </w:rPr>
      </w:pPr>
    </w:p>
    <w:p w14:paraId="0D7BC8F6">
      <w:pPr>
        <w:spacing w:line="360" w:lineRule="auto"/>
        <w:jc w:val="center"/>
        <w:rPr>
          <w:rFonts w:ascii="Times New Roman" w:hAnsi="Times New Roman"/>
          <w:b/>
          <w:color w:val="000000" w:themeColor="text1"/>
          <w:sz w:val="36"/>
          <w14:textFill>
            <w14:solidFill>
              <w14:schemeClr w14:val="tx1"/>
            </w14:solidFill>
          </w14:textFill>
        </w:rPr>
      </w:pPr>
    </w:p>
    <w:p w14:paraId="60D9426F">
      <w:pPr>
        <w:spacing w:line="360" w:lineRule="auto"/>
        <w:rPr>
          <w:rFonts w:ascii="Times New Roman" w:hAnsi="Times New Roman"/>
          <w:b/>
          <w:color w:val="000000" w:themeColor="text1"/>
          <w:sz w:val="36"/>
          <w14:textFill>
            <w14:solidFill>
              <w14:schemeClr w14:val="tx1"/>
            </w14:solidFill>
          </w14:textFill>
        </w:rPr>
      </w:pPr>
    </w:p>
    <w:p w14:paraId="0F0431C7">
      <w:pPr>
        <w:spacing w:line="360" w:lineRule="auto"/>
        <w:rPr>
          <w:rFonts w:ascii="Times New Roman" w:hAnsi="Times New Roman" w:cs="宋体"/>
          <w:b/>
          <w:color w:val="000000" w:themeColor="text1"/>
          <w:sz w:val="30"/>
          <w:szCs w:val="30"/>
          <w14:textFill>
            <w14:solidFill>
              <w14:schemeClr w14:val="tx1"/>
            </w14:solidFill>
          </w14:textFill>
        </w:rPr>
      </w:pPr>
    </w:p>
    <w:p w14:paraId="2EF64E46">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采购单位：南通市生态环境局</w:t>
      </w:r>
    </w:p>
    <w:p w14:paraId="3A25A900">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代理机构：中通服网盈科技有限公司</w:t>
      </w:r>
    </w:p>
    <w:p w14:paraId="51D1291C">
      <w:pPr>
        <w:spacing w:line="360" w:lineRule="auto"/>
        <w:jc w:val="center"/>
        <w:rPr>
          <w:rFonts w:ascii="Times New Roman" w:hAnsi="Times New Roman" w:cs="宋体"/>
          <w:b/>
          <w:color w:val="000000" w:themeColor="text1"/>
          <w:sz w:val="30"/>
          <w:szCs w:val="30"/>
          <w14:textFill>
            <w14:solidFill>
              <w14:schemeClr w14:val="tx1"/>
            </w14:solidFill>
          </w14:textFill>
        </w:rPr>
      </w:pPr>
      <w:r>
        <w:rPr>
          <w:rFonts w:hint="eastAsia" w:ascii="Times New Roman" w:hAnsi="Times New Roman" w:cs="宋体"/>
          <w:b/>
          <w:color w:val="000000" w:themeColor="text1"/>
          <w:sz w:val="30"/>
          <w:szCs w:val="30"/>
          <w14:textFill>
            <w14:solidFill>
              <w14:schemeClr w14:val="tx1"/>
            </w14:solidFill>
          </w14:textFill>
        </w:rPr>
        <w:t>2026年</w:t>
      </w:r>
      <w:r>
        <w:rPr>
          <w:rFonts w:hint="eastAsia" w:ascii="Times New Roman" w:hAnsi="Times New Roman" w:cs="宋体"/>
          <w:b/>
          <w:color w:val="000000" w:themeColor="text1"/>
          <w:sz w:val="30"/>
          <w:szCs w:val="30"/>
          <w:highlight w:val="none"/>
          <w:lang w:val="en-US" w:eastAsia="zh-CN"/>
          <w14:textFill>
            <w14:solidFill>
              <w14:schemeClr w14:val="tx1"/>
            </w14:solidFill>
          </w14:textFill>
        </w:rPr>
        <w:t>4</w:t>
      </w:r>
      <w:r>
        <w:rPr>
          <w:rFonts w:hint="eastAsia" w:ascii="Times New Roman" w:hAnsi="Times New Roman" w:cs="宋体"/>
          <w:b/>
          <w:color w:val="000000" w:themeColor="text1"/>
          <w:sz w:val="30"/>
          <w:szCs w:val="30"/>
          <w:highlight w:val="none"/>
          <w14:textFill>
            <w14:solidFill>
              <w14:schemeClr w14:val="tx1"/>
            </w14:solidFill>
          </w14:textFill>
        </w:rPr>
        <w:t>月</w:t>
      </w:r>
      <w:r>
        <w:rPr>
          <w:rFonts w:hint="eastAsia" w:ascii="Times New Roman" w:hAnsi="Times New Roman" w:cs="宋体"/>
          <w:b/>
          <w:color w:val="000000" w:themeColor="text1"/>
          <w:sz w:val="30"/>
          <w:szCs w:val="30"/>
          <w:highlight w:val="none"/>
          <w:lang w:val="en-US" w:eastAsia="zh-CN"/>
          <w14:textFill>
            <w14:solidFill>
              <w14:schemeClr w14:val="tx1"/>
            </w14:solidFill>
          </w14:textFill>
        </w:rPr>
        <w:t>14</w:t>
      </w:r>
      <w:r>
        <w:rPr>
          <w:rFonts w:hint="eastAsia" w:ascii="Times New Roman" w:hAnsi="Times New Roman" w:cs="宋体"/>
          <w:b/>
          <w:color w:val="000000" w:themeColor="text1"/>
          <w:sz w:val="30"/>
          <w:szCs w:val="30"/>
          <w:highlight w:val="none"/>
          <w14:textFill>
            <w14:solidFill>
              <w14:schemeClr w14:val="tx1"/>
            </w14:solidFill>
          </w14:textFill>
        </w:rPr>
        <w:t>日</w:t>
      </w:r>
    </w:p>
    <w:p w14:paraId="6022F548">
      <w:pPr>
        <w:widowControl/>
        <w:jc w:val="left"/>
        <w:rPr>
          <w:rFonts w:ascii="Times New Roman" w:hAnsi="Times New Roman"/>
          <w:b/>
          <w:color w:val="000000" w:themeColor="text1"/>
          <w:sz w:val="44"/>
          <w:szCs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p>
    <w:p w14:paraId="3828AA64">
      <w:pPr>
        <w:spacing w:line="360" w:lineRule="auto"/>
        <w:jc w:val="center"/>
        <w:outlineLvl w:val="0"/>
        <w:rPr>
          <w:rFonts w:ascii="Times New Roman" w:hAnsi="Times New Roman"/>
          <w:b/>
          <w:color w:val="000000" w:themeColor="text1"/>
          <w:sz w:val="30"/>
          <w:szCs w:val="30"/>
          <w14:textFill>
            <w14:solidFill>
              <w14:schemeClr w14:val="tx1"/>
            </w14:solidFill>
          </w14:textFill>
        </w:rPr>
      </w:pPr>
      <w:r>
        <w:rPr>
          <w:rFonts w:hint="eastAsia" w:ascii="Times New Roman" w:hAnsi="Times New Roman"/>
          <w:b/>
          <w:color w:val="000000" w:themeColor="text1"/>
          <w:sz w:val="44"/>
          <w:szCs w:val="44"/>
          <w14:textFill>
            <w14:solidFill>
              <w14:schemeClr w14:val="tx1"/>
            </w14:solidFill>
          </w14:textFill>
        </w:rPr>
        <w:t>目录</w:t>
      </w:r>
    </w:p>
    <w:p w14:paraId="0B1D9300">
      <w:pPr>
        <w:pStyle w:val="7"/>
        <w:ind w:firstLine="0"/>
        <w:jc w:val="center"/>
        <w:rPr>
          <w:rFonts w:ascii="Times New Roman" w:hAnsi="Times New Roman" w:eastAsia="宋体"/>
          <w:color w:val="000000" w:themeColor="text1"/>
          <w:sz w:val="30"/>
          <w:lang w:eastAsia="zh-CN"/>
          <w14:textFill>
            <w14:solidFill>
              <w14:schemeClr w14:val="tx1"/>
            </w14:solidFill>
          </w14:textFill>
        </w:rPr>
      </w:pPr>
    </w:p>
    <w:p w14:paraId="089D2438">
      <w:pPr>
        <w:pStyle w:val="250"/>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b/>
          <w:bCs/>
          <w:color w:val="000000" w:themeColor="text1"/>
          <w:sz w:val="36"/>
          <w:szCs w:val="36"/>
          <w14:textFill>
            <w14:solidFill>
              <w14:schemeClr w14:val="tx1"/>
            </w14:solidFill>
          </w14:textFill>
        </w:rPr>
        <w:fldChar w:fldCharType="begin"/>
      </w:r>
      <w:r>
        <w:rPr>
          <w:rFonts w:ascii="Times New Roman" w:hAnsi="Times New Roman" w:eastAsia="宋体"/>
          <w:b/>
          <w:bCs/>
          <w:color w:val="000000" w:themeColor="text1"/>
          <w:sz w:val="36"/>
          <w:szCs w:val="36"/>
          <w14:textFill>
            <w14:solidFill>
              <w14:schemeClr w14:val="tx1"/>
            </w14:solidFill>
          </w14:textFill>
        </w:rPr>
        <w:instrText xml:space="preserve"> TOC \o "1-1"</w:instrText>
      </w:r>
      <w:r>
        <w:rPr>
          <w:rFonts w:ascii="Times New Roman" w:hAnsi="Times New Roman" w:eastAsia="宋体"/>
          <w:b/>
          <w:bCs/>
          <w:color w:val="000000" w:themeColor="text1"/>
          <w:sz w:val="36"/>
          <w:szCs w:val="36"/>
          <w14:textFill>
            <w14:solidFill>
              <w14:schemeClr w14:val="tx1"/>
            </w14:solidFill>
          </w14:textFill>
        </w:rPr>
        <w:fldChar w:fldCharType="separate"/>
      </w:r>
      <w:r>
        <w:rPr>
          <w:rFonts w:ascii="Times New Roman" w:hAnsi="Times New Roman" w:eastAsia="宋体"/>
          <w:color w:val="000000" w:themeColor="text1"/>
          <w:sz w:val="32"/>
          <w:szCs w:val="32"/>
          <w14:textFill>
            <w14:solidFill>
              <w14:schemeClr w14:val="tx1"/>
            </w14:solidFill>
          </w14:textFill>
        </w:rPr>
        <w:t>第一章</w:t>
      </w:r>
      <w:r>
        <w:rPr>
          <w:rFonts w:hint="eastAsia" w:ascii="Times New Roman" w:hAnsi="Times New Roman" w:eastAsia="宋体"/>
          <w:color w:val="000000" w:themeColor="text1"/>
          <w:sz w:val="32"/>
          <w:szCs w:val="32"/>
          <w14:textFill>
            <w14:solidFill>
              <w14:schemeClr w14:val="tx1"/>
            </w14:solidFill>
          </w14:textFill>
        </w:rPr>
        <w:t xml:space="preserve"> 竞争性磋商公告</w:t>
      </w:r>
    </w:p>
    <w:p w14:paraId="0F833B2F">
      <w:pPr>
        <w:pStyle w:val="250"/>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第二章</w:t>
      </w:r>
      <w:r>
        <w:rPr>
          <w:rFonts w:hint="eastAsia" w:ascii="Times New Roman" w:hAnsi="Times New Roman" w:eastAsia="宋体"/>
          <w:color w:val="000000" w:themeColor="text1"/>
          <w:sz w:val="32"/>
          <w:szCs w:val="32"/>
          <w14:textFill>
            <w14:solidFill>
              <w14:schemeClr w14:val="tx1"/>
            </w14:solidFill>
          </w14:textFill>
        </w:rPr>
        <w:t xml:space="preserve"> 供应商</w:t>
      </w:r>
      <w:r>
        <w:rPr>
          <w:rFonts w:ascii="Times New Roman" w:hAnsi="Times New Roman" w:eastAsia="宋体"/>
          <w:color w:val="000000" w:themeColor="text1"/>
          <w:sz w:val="32"/>
          <w:szCs w:val="32"/>
          <w14:textFill>
            <w14:solidFill>
              <w14:schemeClr w14:val="tx1"/>
            </w14:solidFill>
          </w14:textFill>
        </w:rPr>
        <w:t>须知</w:t>
      </w:r>
    </w:p>
    <w:p w14:paraId="38822E73">
      <w:pPr>
        <w:pStyle w:val="250"/>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第三章</w:t>
      </w:r>
      <w:r>
        <w:rPr>
          <w:rFonts w:hint="eastAsia" w:ascii="Times New Roman" w:hAnsi="Times New Roman" w:eastAsia="宋体"/>
          <w:color w:val="000000" w:themeColor="text1"/>
          <w:sz w:val="32"/>
          <w:szCs w:val="32"/>
          <w14:textFill>
            <w14:solidFill>
              <w14:schemeClr w14:val="tx1"/>
            </w14:solidFill>
          </w14:textFill>
        </w:rPr>
        <w:t xml:space="preserve"> </w:t>
      </w:r>
      <w:r>
        <w:rPr>
          <w:rFonts w:ascii="Times New Roman" w:hAnsi="Times New Roman" w:eastAsia="宋体"/>
          <w:color w:val="000000" w:themeColor="text1"/>
          <w:sz w:val="32"/>
          <w:szCs w:val="32"/>
          <w14:textFill>
            <w14:solidFill>
              <w14:schemeClr w14:val="tx1"/>
            </w14:solidFill>
          </w14:textFill>
        </w:rPr>
        <w:t>项目需求</w:t>
      </w:r>
    </w:p>
    <w:p w14:paraId="753CCA57">
      <w:pPr>
        <w:pStyle w:val="250"/>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四</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评审方法和程序</w:t>
      </w:r>
    </w:p>
    <w:p w14:paraId="382B6045">
      <w:pPr>
        <w:pStyle w:val="250"/>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ascii="Times New Roman" w:hAnsi="Times New Roman" w:eastAsia="宋体"/>
          <w:color w:val="000000" w:themeColor="text1"/>
          <w:sz w:val="32"/>
          <w:szCs w:val="32"/>
          <w14:textFill>
            <w14:solidFill>
              <w14:schemeClr w14:val="tx1"/>
            </w14:solidFill>
          </w14:textFill>
        </w:rPr>
        <w:t>第</w:t>
      </w:r>
      <w:r>
        <w:rPr>
          <w:rFonts w:hint="eastAsia" w:ascii="Times New Roman" w:hAnsi="Times New Roman" w:eastAsia="宋体"/>
          <w:color w:val="000000" w:themeColor="text1"/>
          <w:sz w:val="32"/>
          <w:szCs w:val="32"/>
          <w14:textFill>
            <w14:solidFill>
              <w14:schemeClr w14:val="tx1"/>
            </w14:solidFill>
          </w14:textFill>
        </w:rPr>
        <w:t>五</w:t>
      </w:r>
      <w:r>
        <w:rPr>
          <w:rFonts w:ascii="Times New Roman" w:hAnsi="Times New Roman" w:eastAsia="宋体"/>
          <w:color w:val="000000" w:themeColor="text1"/>
          <w:sz w:val="32"/>
          <w:szCs w:val="32"/>
          <w14:textFill>
            <w14:solidFill>
              <w14:schemeClr w14:val="tx1"/>
            </w14:solidFill>
          </w14:textFill>
        </w:rPr>
        <w:t>章</w:t>
      </w:r>
      <w:r>
        <w:rPr>
          <w:rFonts w:hint="eastAsia" w:ascii="Times New Roman" w:hAnsi="Times New Roman" w:eastAsia="宋体"/>
          <w:color w:val="000000" w:themeColor="text1"/>
          <w:sz w:val="32"/>
          <w:szCs w:val="32"/>
          <w14:textFill>
            <w14:solidFill>
              <w14:schemeClr w14:val="tx1"/>
            </w14:solidFill>
          </w14:textFill>
        </w:rPr>
        <w:t xml:space="preserve"> 合同主要条款</w:t>
      </w:r>
    </w:p>
    <w:p w14:paraId="731909DC">
      <w:pPr>
        <w:pStyle w:val="250"/>
        <w:tabs>
          <w:tab w:val="right" w:leader="dot" w:pos="9528"/>
        </w:tabs>
        <w:spacing w:line="1200" w:lineRule="exact"/>
        <w:rPr>
          <w:rFonts w:ascii="Times New Roman" w:hAnsi="Times New Roman" w:eastAsia="宋体"/>
          <w:color w:val="000000" w:themeColor="text1"/>
          <w:sz w:val="32"/>
          <w:szCs w:val="32"/>
          <w14:textFill>
            <w14:solidFill>
              <w14:schemeClr w14:val="tx1"/>
            </w14:solidFill>
          </w14:textFill>
        </w:rPr>
      </w:pPr>
      <w:r>
        <w:rPr>
          <w:rFonts w:hint="eastAsia" w:ascii="Times New Roman" w:hAnsi="Times New Roman" w:eastAsia="宋体"/>
          <w:color w:val="000000" w:themeColor="text1"/>
          <w:sz w:val="32"/>
          <w:szCs w:val="32"/>
          <w14:textFill>
            <w14:solidFill>
              <w14:schemeClr w14:val="tx1"/>
            </w14:solidFill>
          </w14:textFill>
        </w:rPr>
        <w:t>第六章 合同授予</w:t>
      </w:r>
    </w:p>
    <w:p w14:paraId="229C321D">
      <w:pPr>
        <w:spacing w:line="1200" w:lineRule="exact"/>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第七章</w:t>
      </w:r>
      <w:r>
        <w:rPr>
          <w:rFonts w:hint="eastAsia" w:ascii="Times New Roman" w:hAnsi="Times New Roman"/>
          <w:color w:val="000000" w:themeColor="text1"/>
          <w:sz w:val="32"/>
          <w:szCs w:val="32"/>
          <w14:textFill>
            <w14:solidFill>
              <w14:schemeClr w14:val="tx1"/>
            </w14:solidFill>
          </w14:textFill>
        </w:rPr>
        <w:t xml:space="preserve"> 质疑提出和处理</w:t>
      </w:r>
    </w:p>
    <w:p w14:paraId="5D3B394E">
      <w:pPr>
        <w:spacing w:line="1200" w:lineRule="exact"/>
        <w:rPr>
          <w:rFonts w:ascii="Times New Roman" w:hAnsi="Times New Roman"/>
          <w:color w:val="000000" w:themeColor="text1"/>
          <w:sz w:val="36"/>
          <w:szCs w:val="36"/>
          <w14:textFill>
            <w14:solidFill>
              <w14:schemeClr w14:val="tx1"/>
            </w14:solidFill>
          </w14:textFill>
        </w:rPr>
      </w:pPr>
      <w:r>
        <w:rPr>
          <w:rFonts w:ascii="Times New Roman" w:hAnsi="Times New Roman"/>
          <w:color w:val="000000" w:themeColor="text1"/>
          <w:sz w:val="32"/>
          <w:szCs w:val="32"/>
          <w14:textFill>
            <w14:solidFill>
              <w14:schemeClr w14:val="tx1"/>
            </w14:solidFill>
          </w14:textFill>
        </w:rPr>
        <w:t>第八章</w:t>
      </w:r>
      <w:r>
        <w:rPr>
          <w:rFonts w:hint="eastAsia" w:ascii="Times New Roman" w:hAnsi="Times New Roman"/>
          <w:color w:val="000000" w:themeColor="text1"/>
          <w:sz w:val="32"/>
          <w:szCs w:val="32"/>
          <w14:textFill>
            <w14:solidFill>
              <w14:schemeClr w14:val="tx1"/>
            </w14:solidFill>
          </w14:textFill>
        </w:rPr>
        <w:t xml:space="preserve"> 响应文件组成及格式</w:t>
      </w:r>
    </w:p>
    <w:p w14:paraId="44125D12">
      <w:pPr>
        <w:rPr>
          <w:rFonts w:ascii="Times New Roman" w:hAnsi="Times New Roman" w:cs="宋体"/>
          <w:b/>
          <w:color w:val="000000" w:themeColor="text1"/>
          <w:sz w:val="24"/>
          <w:szCs w:val="24"/>
          <w14:textFill>
            <w14:solidFill>
              <w14:schemeClr w14:val="tx1"/>
            </w14:solidFill>
          </w14:textFill>
        </w:rPr>
      </w:pPr>
      <w:r>
        <w:rPr>
          <w:rFonts w:ascii="Times New Roman" w:hAnsi="Times New Roman"/>
          <w:b/>
          <w:bCs/>
          <w:color w:val="000000" w:themeColor="text1"/>
          <w:sz w:val="36"/>
          <w:szCs w:val="36"/>
          <w14:textFill>
            <w14:solidFill>
              <w14:schemeClr w14:val="tx1"/>
            </w14:solidFill>
          </w14:textFill>
        </w:rPr>
        <w:fldChar w:fldCharType="end"/>
      </w:r>
    </w:p>
    <w:p w14:paraId="0F895F6C">
      <w:pPr>
        <w:pStyle w:val="222"/>
        <w:rPr>
          <w:rFonts w:ascii="Times New Roman" w:hAnsi="Times New Roman"/>
          <w:color w:val="000000" w:themeColor="text1"/>
          <w14:textFill>
            <w14:solidFill>
              <w14:schemeClr w14:val="tx1"/>
            </w14:solidFill>
          </w14:textFill>
        </w:rPr>
      </w:pPr>
    </w:p>
    <w:p w14:paraId="241E6A95">
      <w:pPr>
        <w:rPr>
          <w:rFonts w:ascii="Times New Roman" w:hAnsi="Times New Roman" w:cs="宋体"/>
          <w:b/>
          <w:color w:val="000000" w:themeColor="text1"/>
          <w:sz w:val="24"/>
          <w:szCs w:val="24"/>
          <w14:textFill>
            <w14:solidFill>
              <w14:schemeClr w14:val="tx1"/>
            </w14:solidFill>
          </w14:textFill>
        </w:rPr>
      </w:pPr>
    </w:p>
    <w:p w14:paraId="3DEBA062">
      <w:pPr>
        <w:pStyle w:val="2"/>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第一章 竞争性磋商公告</w:t>
      </w:r>
    </w:p>
    <w:p w14:paraId="62A2181B">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项目概况</w:t>
      </w:r>
    </w:p>
    <w:p w14:paraId="7D9DC555">
      <w:pPr>
        <w:pBdr>
          <w:top w:val="single" w:color="000000" w:sz="4" w:space="1"/>
          <w:left w:val="single" w:color="000000" w:sz="4" w:space="4"/>
          <w:bottom w:val="single" w:color="000000" w:sz="4" w:space="1"/>
          <w:right w:val="single" w:color="000000" w:sz="4" w:space="4"/>
        </w:pBdr>
        <w:spacing w:line="360" w:lineRule="auto"/>
        <w:ind w:firstLine="482"/>
        <w:jc w:val="left"/>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u w:val="single"/>
          <w14:textFill>
            <w14:solidFill>
              <w14:schemeClr w14:val="tx1"/>
            </w14:solidFill>
          </w14:textFill>
        </w:rPr>
        <w:t>中通服网盈科技有限公司</w:t>
      </w:r>
      <w:r>
        <w:rPr>
          <w:rFonts w:hint="eastAsia" w:ascii="Times New Roman" w:hAnsi="Times New Roman"/>
          <w:color w:val="000000" w:themeColor="text1"/>
          <w:sz w:val="24"/>
          <w14:textFill>
            <w14:solidFill>
              <w14:schemeClr w14:val="tx1"/>
            </w14:solidFill>
          </w14:textFill>
        </w:rPr>
        <w:t>（以下称代理机构）受</w:t>
      </w:r>
      <w:r>
        <w:rPr>
          <w:rFonts w:hint="eastAsia" w:ascii="Times New Roman" w:hAnsi="Times New Roman"/>
          <w:color w:val="000000" w:themeColor="text1"/>
          <w:sz w:val="24"/>
          <w:u w:val="single"/>
          <w14:textFill>
            <w14:solidFill>
              <w14:schemeClr w14:val="tx1"/>
            </w14:solidFill>
          </w14:textFill>
        </w:rPr>
        <w:t>南通市生态环境局</w:t>
      </w:r>
      <w:r>
        <w:rPr>
          <w:rFonts w:hint="eastAsia" w:ascii="Times New Roman" w:hAnsi="Times New Roman"/>
          <w:color w:val="000000" w:themeColor="text1"/>
          <w:sz w:val="24"/>
          <w14:textFill>
            <w14:solidFill>
              <w14:schemeClr w14:val="tx1"/>
            </w14:solidFill>
          </w14:textFill>
        </w:rPr>
        <w:t>（以下称采购人）的委托，就</w:t>
      </w:r>
      <w:r>
        <w:rPr>
          <w:rFonts w:hint="eastAsia" w:ascii="Times New Roman" w:hAnsi="Times New Roman"/>
          <w:color w:val="000000" w:themeColor="text1"/>
          <w:sz w:val="24"/>
          <w:u w:val="single"/>
          <w:lang w:eastAsia="zh-CN"/>
          <w14:textFill>
            <w14:solidFill>
              <w14:schemeClr w14:val="tx1"/>
            </w14:solidFill>
          </w14:textFill>
        </w:rPr>
        <w:t>2026年南通市核与辐射建设项目环评文件委托技术评估项目</w:t>
      </w:r>
      <w:r>
        <w:rPr>
          <w:rFonts w:hint="eastAsia" w:ascii="Times New Roman" w:hAnsi="Times New Roman"/>
          <w:color w:val="000000" w:themeColor="text1"/>
          <w:sz w:val="24"/>
          <w14:textFill>
            <w14:solidFill>
              <w14:schemeClr w14:val="tx1"/>
            </w14:solidFill>
          </w14:textFill>
        </w:rPr>
        <w:t>组织公开竞争性磋商，诚邀符合条件的潜在供应商在“南通市生态环境局官网”获取采购文件，并</w:t>
      </w:r>
      <w:r>
        <w:rPr>
          <w:rFonts w:hint="eastAsia" w:ascii="Times New Roman" w:hAnsi="Times New Roman"/>
          <w:color w:val="000000" w:themeColor="text1"/>
          <w:sz w:val="24"/>
          <w:highlight w:val="none"/>
          <w14:textFill>
            <w14:solidFill>
              <w14:schemeClr w14:val="tx1"/>
            </w14:solidFill>
          </w14:textFill>
        </w:rPr>
        <w:t xml:space="preserve">于 </w:t>
      </w:r>
      <w:r>
        <w:rPr>
          <w:rFonts w:hint="eastAsia" w:ascii="Times New Roman" w:hAnsi="Times New Roman"/>
          <w:color w:val="000000" w:themeColor="text1"/>
          <w:sz w:val="24"/>
          <w:highlight w:val="none"/>
          <w:u w:val="single"/>
          <w14:textFill>
            <w14:solidFill>
              <w14:schemeClr w14:val="tx1"/>
            </w14:solidFill>
          </w14:textFill>
        </w:rPr>
        <w:t>2026</w:t>
      </w:r>
      <w:r>
        <w:rPr>
          <w:rFonts w:hint="eastAsia" w:ascii="Times New Roman" w:hAnsi="Times New Roman"/>
          <w:color w:val="000000" w:themeColor="text1"/>
          <w:sz w:val="24"/>
          <w:highlight w:val="none"/>
          <w14:textFill>
            <w14:solidFill>
              <w14:schemeClr w14:val="tx1"/>
            </w14:solidFill>
          </w14:textFill>
        </w:rPr>
        <w:t>年</w:t>
      </w:r>
      <w:r>
        <w:rPr>
          <w:rFonts w:hint="eastAsia" w:ascii="Times New Roman" w:hAnsi="Times New Roman"/>
          <w:color w:val="000000" w:themeColor="text1"/>
          <w:sz w:val="24"/>
          <w:highlight w:val="none"/>
          <w:u w:val="single"/>
          <w:lang w:val="en-US" w:eastAsia="zh-CN"/>
          <w14:textFill>
            <w14:solidFill>
              <w14:schemeClr w14:val="tx1"/>
            </w14:solidFill>
          </w14:textFill>
        </w:rPr>
        <w:t>4</w:t>
      </w:r>
      <w:r>
        <w:rPr>
          <w:rFonts w:hint="eastAsia" w:ascii="Times New Roman" w:hAnsi="Times New Roman"/>
          <w:color w:val="000000" w:themeColor="text1"/>
          <w:sz w:val="24"/>
          <w:highlight w:val="none"/>
          <w14:textFill>
            <w14:solidFill>
              <w14:schemeClr w14:val="tx1"/>
            </w14:solidFill>
          </w14:textFill>
        </w:rPr>
        <w:t>月</w:t>
      </w:r>
      <w:r>
        <w:rPr>
          <w:rFonts w:hint="eastAsia" w:ascii="Times New Roman" w:hAnsi="Times New Roman"/>
          <w:color w:val="000000" w:themeColor="text1"/>
          <w:sz w:val="24"/>
          <w:highlight w:val="none"/>
          <w:u w:val="single"/>
          <w:lang w:val="en-US" w:eastAsia="zh-CN"/>
          <w14:textFill>
            <w14:solidFill>
              <w14:schemeClr w14:val="tx1"/>
            </w14:solidFill>
          </w14:textFill>
        </w:rPr>
        <w:t>27</w:t>
      </w:r>
      <w:r>
        <w:rPr>
          <w:rFonts w:hint="eastAsia" w:ascii="Times New Roman" w:hAnsi="Times New Roman"/>
          <w:color w:val="000000" w:themeColor="text1"/>
          <w:sz w:val="24"/>
          <w:highlight w:val="none"/>
          <w14:textFill>
            <w14:solidFill>
              <w14:schemeClr w14:val="tx1"/>
            </w14:solidFill>
          </w14:textFill>
        </w:rPr>
        <w:t>日</w:t>
      </w:r>
      <w:r>
        <w:rPr>
          <w:rFonts w:hint="eastAsia" w:ascii="Times New Roman" w:hAnsi="Times New Roman"/>
          <w:color w:val="000000" w:themeColor="text1"/>
          <w:sz w:val="24"/>
          <w:highlight w:val="none"/>
          <w:u w:val="single"/>
          <w:lang w:val="en-US" w:eastAsia="zh-CN"/>
          <w14:textFill>
            <w14:solidFill>
              <w14:schemeClr w14:val="tx1"/>
            </w14:solidFill>
          </w14:textFill>
        </w:rPr>
        <w:t>14</w:t>
      </w:r>
      <w:r>
        <w:rPr>
          <w:rFonts w:hint="eastAsia" w:ascii="Times New Roman" w:hAnsi="Times New Roman"/>
          <w:color w:val="000000" w:themeColor="text1"/>
          <w:sz w:val="24"/>
          <w:highlight w:val="none"/>
          <w14:textFill>
            <w14:solidFill>
              <w14:schemeClr w14:val="tx1"/>
            </w14:solidFill>
          </w14:textFill>
        </w:rPr>
        <w:t>时</w:t>
      </w:r>
      <w:r>
        <w:rPr>
          <w:rFonts w:hint="eastAsia" w:ascii="Times New Roman" w:hAnsi="Times New Roman"/>
          <w:color w:val="000000" w:themeColor="text1"/>
          <w:sz w:val="24"/>
          <w:highlight w:val="none"/>
          <w:u w:val="single"/>
          <w:lang w:val="en-US" w:eastAsia="zh-CN"/>
          <w14:textFill>
            <w14:solidFill>
              <w14:schemeClr w14:val="tx1"/>
            </w14:solidFill>
          </w14:textFill>
        </w:rPr>
        <w:t>30</w:t>
      </w:r>
      <w:r>
        <w:rPr>
          <w:rFonts w:hint="eastAsia" w:ascii="Times New Roman" w:hAnsi="Times New Roman"/>
          <w:color w:val="000000" w:themeColor="text1"/>
          <w:sz w:val="24"/>
          <w:highlight w:val="none"/>
          <w14:textFill>
            <w14:solidFill>
              <w14:schemeClr w14:val="tx1"/>
            </w14:solidFill>
          </w14:textFill>
        </w:rPr>
        <w:t>分</w:t>
      </w:r>
      <w:r>
        <w:rPr>
          <w:rFonts w:hint="eastAsia" w:ascii="Times New Roman" w:hAnsi="Times New Roman"/>
          <w:color w:val="000000" w:themeColor="text1"/>
          <w:sz w:val="24"/>
          <w14:textFill>
            <w14:solidFill>
              <w14:schemeClr w14:val="tx1"/>
            </w14:solidFill>
          </w14:textFill>
        </w:rPr>
        <w:t>（北京时间）前递交响应文件。</w:t>
      </w:r>
    </w:p>
    <w:p w14:paraId="39C25A85">
      <w:pPr>
        <w:numPr>
          <w:ilvl w:val="0"/>
          <w:numId w:val="1"/>
        </w:numPr>
        <w:spacing w:line="360" w:lineRule="auto"/>
        <w:ind w:firstLine="482"/>
        <w:rPr>
          <w:rFonts w:ascii="Times New Roman" w:hAnsi="Times New Roman"/>
          <w:b/>
          <w:sz w:val="24"/>
          <w:szCs w:val="24"/>
        </w:rPr>
      </w:pPr>
      <w:r>
        <w:rPr>
          <w:rFonts w:hint="eastAsia" w:ascii="Times New Roman" w:hAnsi="Times New Roman"/>
          <w:b/>
          <w:sz w:val="24"/>
          <w:szCs w:val="24"/>
        </w:rPr>
        <w:t>项目基本情况</w:t>
      </w:r>
    </w:p>
    <w:p w14:paraId="0E516763">
      <w:pPr>
        <w:spacing w:line="360" w:lineRule="auto"/>
        <w:ind w:firstLine="480"/>
        <w:rPr>
          <w:rFonts w:hint="eastAsia" w:ascii="宋体" w:hAnsi="宋体" w:cs="宋体"/>
          <w:sz w:val="24"/>
        </w:rPr>
      </w:pPr>
      <w:r>
        <w:rPr>
          <w:rFonts w:hint="eastAsia" w:ascii="Times New Roman" w:hAnsi="Times New Roman"/>
          <w:bCs/>
          <w:sz w:val="24"/>
          <w:szCs w:val="24"/>
        </w:rPr>
        <w:t>1.</w:t>
      </w:r>
      <w:r>
        <w:rPr>
          <w:rFonts w:hint="eastAsia" w:ascii="宋体" w:hAnsi="宋体" w:cs="宋体"/>
          <w:sz w:val="24"/>
        </w:rPr>
        <w:t>项目</w:t>
      </w:r>
      <w:r>
        <w:rPr>
          <w:rFonts w:hint="eastAsia" w:ascii="Times New Roman" w:hAnsi="Times New Roman" w:eastAsia="宋体" w:cs="Times New Roman"/>
          <w:bCs/>
          <w:sz w:val="24"/>
          <w:szCs w:val="24"/>
        </w:rPr>
        <w:t>编号：WY-20260306-005</w:t>
      </w:r>
    </w:p>
    <w:p w14:paraId="50207D6B">
      <w:pPr>
        <w:spacing w:line="360" w:lineRule="auto"/>
        <w:ind w:firstLine="480" w:firstLineChars="200"/>
        <w:rPr>
          <w:rFonts w:hint="eastAsia" w:ascii="Times New Roman" w:hAnsi="Times New Roman" w:eastAsia="宋体"/>
          <w:bCs/>
          <w:sz w:val="24"/>
          <w:szCs w:val="24"/>
          <w:lang w:eastAsia="zh-CN"/>
        </w:rPr>
      </w:pPr>
      <w:r>
        <w:rPr>
          <w:rFonts w:hint="eastAsia" w:ascii="Times New Roman" w:hAnsi="Times New Roman"/>
          <w:bCs/>
          <w:sz w:val="24"/>
          <w:szCs w:val="24"/>
        </w:rPr>
        <w:t>2.项目名称：</w:t>
      </w:r>
      <w:r>
        <w:rPr>
          <w:rFonts w:hint="eastAsia" w:ascii="Times New Roman" w:hAnsi="Times New Roman"/>
          <w:bCs/>
          <w:sz w:val="24"/>
          <w:szCs w:val="24"/>
          <w:lang w:eastAsia="zh-CN"/>
        </w:rPr>
        <w:t>2026年南通市核与辐射建设项目环评文件委托技术评估项目</w:t>
      </w:r>
    </w:p>
    <w:p w14:paraId="09784C50">
      <w:pPr>
        <w:spacing w:line="360" w:lineRule="auto"/>
        <w:ind w:firstLine="480"/>
        <w:rPr>
          <w:rFonts w:ascii="Times New Roman" w:hAnsi="Times New Roman"/>
          <w:sz w:val="24"/>
          <w:szCs w:val="24"/>
        </w:rPr>
      </w:pPr>
      <w:r>
        <w:rPr>
          <w:rFonts w:hint="eastAsia" w:ascii="Times New Roman" w:hAnsi="Times New Roman"/>
          <w:sz w:val="24"/>
          <w:szCs w:val="24"/>
        </w:rPr>
        <w:t>3.项目类型：服务</w:t>
      </w:r>
    </w:p>
    <w:p w14:paraId="671455C1">
      <w:pPr>
        <w:spacing w:line="360" w:lineRule="auto"/>
        <w:ind w:firstLine="480"/>
        <w:rPr>
          <w:rFonts w:ascii="Times New Roman" w:hAnsi="Times New Roman"/>
          <w:sz w:val="24"/>
          <w:szCs w:val="24"/>
        </w:rPr>
      </w:pPr>
      <w:r>
        <w:rPr>
          <w:rFonts w:hint="eastAsia" w:ascii="Times New Roman" w:hAnsi="Times New Roman"/>
          <w:sz w:val="24"/>
          <w:szCs w:val="24"/>
        </w:rPr>
        <w:t>4.所属行业：其他未列明行业</w:t>
      </w:r>
    </w:p>
    <w:p w14:paraId="122AABE7">
      <w:pPr>
        <w:spacing w:line="360" w:lineRule="auto"/>
        <w:ind w:firstLine="480"/>
        <w:rPr>
          <w:rFonts w:ascii="Times New Roman" w:hAnsi="Times New Roman"/>
          <w:bCs/>
          <w:sz w:val="24"/>
          <w:szCs w:val="24"/>
        </w:rPr>
      </w:pPr>
      <w:r>
        <w:rPr>
          <w:rFonts w:hint="eastAsia" w:ascii="Times New Roman" w:hAnsi="Times New Roman"/>
          <w:bCs/>
          <w:sz w:val="24"/>
          <w:szCs w:val="24"/>
        </w:rPr>
        <w:t>5.采购方式：</w:t>
      </w:r>
      <w:r>
        <w:rPr>
          <w:rFonts w:hint="eastAsia" w:ascii="Times New Roman" w:hAnsi="Times New Roman"/>
          <w:sz w:val="24"/>
        </w:rPr>
        <w:t>竞争性磋商</w:t>
      </w:r>
    </w:p>
    <w:p w14:paraId="0A1167C8">
      <w:pPr>
        <w:spacing w:line="360" w:lineRule="auto"/>
        <w:ind w:firstLine="480"/>
        <w:rPr>
          <w:rFonts w:ascii="Times New Roman" w:hAnsi="Times New Roman"/>
          <w:bCs/>
          <w:sz w:val="24"/>
          <w:szCs w:val="24"/>
        </w:rPr>
      </w:pPr>
      <w:r>
        <w:rPr>
          <w:rFonts w:hint="eastAsia" w:ascii="Times New Roman" w:hAnsi="Times New Roman"/>
          <w:bCs/>
          <w:sz w:val="24"/>
          <w:szCs w:val="24"/>
        </w:rPr>
        <w:t>6.预算金额：人民币</w:t>
      </w:r>
      <w:r>
        <w:rPr>
          <w:rFonts w:hint="eastAsia" w:ascii="Times New Roman" w:hAnsi="Times New Roman"/>
          <w:bCs/>
          <w:sz w:val="24"/>
          <w:szCs w:val="24"/>
          <w:lang w:val="en-US" w:eastAsia="zh-CN"/>
        </w:rPr>
        <w:t>25</w:t>
      </w:r>
      <w:r>
        <w:rPr>
          <w:rFonts w:hint="eastAsia" w:ascii="Times New Roman" w:hAnsi="Times New Roman"/>
          <w:bCs/>
          <w:sz w:val="24"/>
          <w:szCs w:val="24"/>
        </w:rPr>
        <w:t>万元</w:t>
      </w:r>
    </w:p>
    <w:p w14:paraId="58C7133C">
      <w:pPr>
        <w:spacing w:line="360" w:lineRule="auto"/>
        <w:ind w:firstLine="482" w:firstLineChars="200"/>
        <w:rPr>
          <w:rFonts w:hint="eastAsia" w:ascii="Times New Roman" w:hAnsi="Times New Roman"/>
          <w:b/>
          <w:sz w:val="24"/>
          <w:szCs w:val="24"/>
          <w:highlight w:val="none"/>
        </w:rPr>
      </w:pPr>
      <w:bookmarkStart w:id="11" w:name="_GoBack"/>
      <w:r>
        <w:rPr>
          <w:rFonts w:hint="eastAsia" w:ascii="Times New Roman" w:hAnsi="Times New Roman"/>
          <w:b/>
          <w:sz w:val="24"/>
          <w:szCs w:val="24"/>
        </w:rPr>
        <w:t>7.最高限价：</w:t>
      </w:r>
      <w:r>
        <w:rPr>
          <w:rFonts w:hint="eastAsia" w:ascii="Times New Roman" w:hAnsi="Times New Roman"/>
          <w:b/>
          <w:sz w:val="24"/>
          <w:szCs w:val="24"/>
          <w:lang w:val="en-US" w:eastAsia="zh-CN"/>
        </w:rPr>
        <w:t>本项目采用折</w:t>
      </w:r>
      <w:r>
        <w:rPr>
          <w:rFonts w:hint="eastAsia" w:ascii="Times New Roman" w:hAnsi="Times New Roman"/>
          <w:b/>
          <w:sz w:val="24"/>
          <w:szCs w:val="24"/>
          <w:highlight w:val="none"/>
          <w:lang w:val="en-US" w:eastAsia="zh-CN"/>
        </w:rPr>
        <w:t>扣报价形式，最高折扣100%，响应报价超过最高折扣的为无效响应文件。折扣报价基准：</w:t>
      </w:r>
      <w:r>
        <w:rPr>
          <w:rFonts w:hint="eastAsia" w:ascii="Times New Roman" w:hAnsi="Times New Roman"/>
          <w:b/>
          <w:sz w:val="24"/>
          <w:szCs w:val="24"/>
          <w:highlight w:val="none"/>
        </w:rPr>
        <w:t>核与辐射建设项目环评技术</w:t>
      </w:r>
      <w:r>
        <w:rPr>
          <w:rFonts w:hint="eastAsia" w:ascii="Times New Roman" w:hAnsi="Times New Roman"/>
          <w:b/>
          <w:sz w:val="24"/>
          <w:szCs w:val="24"/>
          <w:highlight w:val="none"/>
          <w:lang w:eastAsia="zh-CN"/>
        </w:rPr>
        <w:t>评估</w:t>
      </w:r>
      <w:r>
        <w:rPr>
          <w:rFonts w:hint="eastAsia" w:ascii="Times New Roman" w:hAnsi="Times New Roman"/>
          <w:b/>
          <w:sz w:val="24"/>
          <w:szCs w:val="24"/>
          <w:highlight w:val="none"/>
        </w:rPr>
        <w:t>函审费用4000元/项目，会议评审费用8000元/项目。</w:t>
      </w:r>
    </w:p>
    <w:bookmarkEnd w:id="11"/>
    <w:p w14:paraId="6839CBBF">
      <w:pPr>
        <w:spacing w:line="360" w:lineRule="auto"/>
        <w:ind w:firstLine="480" w:firstLineChars="200"/>
        <w:rPr>
          <w:rFonts w:ascii="Times New Roman" w:hAnsi="Times New Roman"/>
          <w:bCs/>
          <w:sz w:val="24"/>
          <w:szCs w:val="24"/>
          <w:highlight w:val="none"/>
        </w:rPr>
      </w:pPr>
      <w:r>
        <w:rPr>
          <w:rFonts w:hint="eastAsia" w:ascii="Times New Roman" w:hAnsi="Times New Roman"/>
          <w:bCs/>
          <w:sz w:val="24"/>
          <w:szCs w:val="24"/>
          <w:highlight w:val="none"/>
        </w:rPr>
        <w:t>8.采购需求：具体内容详见采购文件第三章项目需求。</w:t>
      </w:r>
    </w:p>
    <w:p w14:paraId="0C4A4E42">
      <w:pPr>
        <w:spacing w:line="360" w:lineRule="auto"/>
        <w:ind w:firstLine="480" w:firstLineChars="200"/>
        <w:rPr>
          <w:rFonts w:ascii="Times New Roman" w:hAnsi="Times New Roman" w:cs="宋体"/>
          <w:sz w:val="24"/>
          <w:szCs w:val="24"/>
          <w:highlight w:val="none"/>
        </w:rPr>
      </w:pPr>
      <w:r>
        <w:rPr>
          <w:rFonts w:hint="eastAsia" w:ascii="Times New Roman" w:hAnsi="Times New Roman"/>
          <w:bCs/>
          <w:sz w:val="24"/>
          <w:szCs w:val="24"/>
          <w:highlight w:val="none"/>
        </w:rPr>
        <w:t>9.</w:t>
      </w:r>
      <w:r>
        <w:rPr>
          <w:rFonts w:hint="eastAsia"/>
          <w:sz w:val="24"/>
          <w:highlight w:val="none"/>
        </w:rPr>
        <w:t>服务期限：自合同签</w:t>
      </w:r>
      <w:r>
        <w:rPr>
          <w:rFonts w:hint="default" w:ascii="Times New Roman" w:hAnsi="Times New Roman" w:cs="Times New Roman"/>
          <w:sz w:val="24"/>
          <w:highlight w:val="none"/>
        </w:rPr>
        <w:t>订之日起至2026年12月31日</w:t>
      </w:r>
      <w:r>
        <w:rPr>
          <w:rFonts w:hint="eastAsia"/>
          <w:sz w:val="24"/>
          <w:highlight w:val="none"/>
        </w:rPr>
        <w:t>。</w:t>
      </w:r>
    </w:p>
    <w:p w14:paraId="19A8F4B9">
      <w:pPr>
        <w:spacing w:line="360" w:lineRule="auto"/>
        <w:ind w:firstLine="480" w:firstLineChars="200"/>
        <w:rPr>
          <w:rFonts w:ascii="Times New Roman" w:hAnsi="Times New Roman"/>
          <w:bCs/>
          <w:sz w:val="24"/>
          <w:szCs w:val="24"/>
        </w:rPr>
      </w:pPr>
      <w:r>
        <w:rPr>
          <w:rFonts w:hint="eastAsia" w:ascii="Times New Roman" w:hAnsi="Times New Roman"/>
          <w:bCs/>
          <w:sz w:val="24"/>
          <w:szCs w:val="24"/>
        </w:rPr>
        <w:t>10.本项目（是/否）接受联合体：否。</w:t>
      </w:r>
    </w:p>
    <w:p w14:paraId="01C12046">
      <w:pPr>
        <w:spacing w:line="360" w:lineRule="auto"/>
        <w:ind w:firstLine="482"/>
        <w:rPr>
          <w:rFonts w:ascii="Times New Roman" w:hAnsi="Times New Roman"/>
          <w:b/>
          <w:sz w:val="24"/>
          <w:szCs w:val="24"/>
        </w:rPr>
      </w:pPr>
      <w:r>
        <w:rPr>
          <w:rFonts w:hint="eastAsia" w:ascii="Times New Roman" w:hAnsi="Times New Roman"/>
          <w:b/>
          <w:sz w:val="24"/>
          <w:szCs w:val="24"/>
        </w:rPr>
        <w:t>二、申请人的资格要求：</w:t>
      </w:r>
    </w:p>
    <w:p w14:paraId="68FFC058">
      <w:pPr>
        <w:spacing w:line="360" w:lineRule="auto"/>
        <w:ind w:firstLine="480"/>
        <w:rPr>
          <w:rFonts w:hint="eastAsia" w:ascii="宋体" w:hAnsi="宋体" w:cs="宋体"/>
          <w:sz w:val="24"/>
          <w:szCs w:val="24"/>
        </w:rPr>
      </w:pPr>
      <w:r>
        <w:rPr>
          <w:rFonts w:hint="eastAsia" w:ascii="宋体" w:hAnsi="宋体" w:cs="宋体"/>
          <w:sz w:val="24"/>
          <w:szCs w:val="24"/>
        </w:rPr>
        <w:t>1.满足</w:t>
      </w:r>
      <w:r>
        <w:rPr>
          <w:rFonts w:hint="eastAsia" w:ascii="宋体" w:hAnsi="宋体" w:cs="宋体"/>
          <w:sz w:val="24"/>
          <w:szCs w:val="24"/>
          <w:lang w:val="en-US" w:eastAsia="zh-CN"/>
        </w:rPr>
        <w:t>以下</w:t>
      </w:r>
      <w:r>
        <w:rPr>
          <w:rFonts w:hint="eastAsia" w:ascii="宋体" w:hAnsi="宋体" w:cs="宋体"/>
          <w:sz w:val="24"/>
          <w:szCs w:val="24"/>
        </w:rPr>
        <w:t>规定，并提供声明函：</w:t>
      </w:r>
    </w:p>
    <w:p w14:paraId="3682E28A">
      <w:pPr>
        <w:spacing w:line="360" w:lineRule="auto"/>
        <w:ind w:firstLine="480"/>
        <w:rPr>
          <w:rFonts w:hint="eastAsia" w:ascii="宋体" w:hAnsi="宋体" w:cs="宋体"/>
          <w:sz w:val="24"/>
          <w:szCs w:val="24"/>
        </w:rPr>
      </w:pPr>
      <w:r>
        <w:rPr>
          <w:rFonts w:hint="eastAsia" w:ascii="宋体" w:hAnsi="宋体" w:cs="宋体"/>
          <w:sz w:val="24"/>
          <w:szCs w:val="24"/>
        </w:rPr>
        <w:t>（1）具有独立承担民事责任的能力；</w:t>
      </w:r>
    </w:p>
    <w:p w14:paraId="56398832">
      <w:pPr>
        <w:spacing w:line="360" w:lineRule="auto"/>
        <w:ind w:firstLine="480"/>
        <w:rPr>
          <w:rFonts w:hint="eastAsia" w:ascii="宋体" w:hAnsi="宋体" w:cs="宋体"/>
          <w:sz w:val="24"/>
          <w:szCs w:val="24"/>
        </w:rPr>
      </w:pPr>
      <w:r>
        <w:rPr>
          <w:rFonts w:hint="eastAsia" w:ascii="宋体" w:hAnsi="宋体" w:cs="宋体"/>
          <w:sz w:val="24"/>
          <w:szCs w:val="24"/>
        </w:rPr>
        <w:t>（2）具有良好的商业信誉和健全的财务会计制度；</w:t>
      </w:r>
    </w:p>
    <w:p w14:paraId="782ACB9D">
      <w:pPr>
        <w:spacing w:line="360" w:lineRule="auto"/>
        <w:ind w:firstLine="480"/>
        <w:rPr>
          <w:rFonts w:hint="eastAsia" w:ascii="宋体" w:hAnsi="宋体" w:cs="宋体"/>
          <w:sz w:val="24"/>
          <w:szCs w:val="24"/>
        </w:rPr>
      </w:pPr>
      <w:r>
        <w:rPr>
          <w:rFonts w:hint="eastAsia" w:ascii="宋体" w:hAnsi="宋体" w:cs="宋体"/>
          <w:sz w:val="24"/>
          <w:szCs w:val="24"/>
        </w:rPr>
        <w:t>（3）具有履行合同所必需的设备和专业技术能力；</w:t>
      </w:r>
    </w:p>
    <w:p w14:paraId="1CD243FE">
      <w:pPr>
        <w:spacing w:line="360" w:lineRule="auto"/>
        <w:ind w:firstLine="480"/>
        <w:rPr>
          <w:rFonts w:hint="eastAsia" w:ascii="宋体" w:hAnsi="宋体" w:cs="宋体"/>
          <w:sz w:val="24"/>
          <w:szCs w:val="24"/>
        </w:rPr>
      </w:pPr>
      <w:r>
        <w:rPr>
          <w:rFonts w:hint="eastAsia" w:ascii="宋体" w:hAnsi="宋体" w:cs="宋体"/>
          <w:sz w:val="24"/>
          <w:szCs w:val="24"/>
        </w:rPr>
        <w:t>（4）有依法缴纳税收和社会保障资金的良好记录；</w:t>
      </w:r>
    </w:p>
    <w:p w14:paraId="498727C9">
      <w:pPr>
        <w:spacing w:line="360" w:lineRule="auto"/>
        <w:ind w:firstLine="48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14:paraId="610E32EB">
      <w:pPr>
        <w:spacing w:line="360" w:lineRule="auto"/>
        <w:ind w:firstLine="480"/>
        <w:rPr>
          <w:rFonts w:hint="eastAsia" w:ascii="宋体" w:hAnsi="宋体" w:cs="宋体"/>
          <w:sz w:val="24"/>
          <w:szCs w:val="24"/>
        </w:rPr>
      </w:pPr>
      <w:r>
        <w:rPr>
          <w:rFonts w:hint="eastAsia" w:ascii="宋体" w:hAnsi="宋体" w:cs="宋体"/>
          <w:sz w:val="24"/>
          <w:szCs w:val="24"/>
        </w:rPr>
        <w:t>（6）法律、行政法规规定的其他条件。</w:t>
      </w:r>
    </w:p>
    <w:p w14:paraId="78C44699">
      <w:pPr>
        <w:adjustRightInd w:val="0"/>
        <w:snapToGrid w:val="0"/>
        <w:spacing w:line="360" w:lineRule="auto"/>
        <w:ind w:firstLine="480" w:firstLineChars="200"/>
        <w:rPr>
          <w:rFonts w:hint="eastAsia" w:ascii="宋体" w:hAnsi="宋体"/>
          <w:b/>
          <w:bCs/>
          <w:kern w:val="2"/>
          <w:sz w:val="24"/>
          <w:szCs w:val="24"/>
          <w:u w:val="single"/>
        </w:rPr>
      </w:pPr>
      <w:r>
        <w:rPr>
          <w:rFonts w:ascii="宋体" w:hAnsi="宋体"/>
          <w:kern w:val="2"/>
          <w:sz w:val="24"/>
          <w:szCs w:val="24"/>
        </w:rPr>
        <w:t>2</w:t>
      </w:r>
      <w:r>
        <w:rPr>
          <w:rFonts w:hint="eastAsia" w:ascii="宋体" w:hAnsi="宋体"/>
          <w:kern w:val="2"/>
          <w:sz w:val="24"/>
          <w:szCs w:val="24"/>
        </w:rPr>
        <w:t>.</w:t>
      </w:r>
      <w:r>
        <w:rPr>
          <w:rFonts w:ascii="宋体" w:hAnsi="宋体"/>
          <w:kern w:val="2"/>
          <w:sz w:val="24"/>
          <w:szCs w:val="24"/>
        </w:rPr>
        <w:t>落实政府采购政策需满足的资格要求：</w:t>
      </w:r>
      <w:r>
        <w:rPr>
          <w:rFonts w:hint="eastAsia" w:ascii="宋体" w:hAnsi="宋体"/>
          <w:kern w:val="2"/>
          <w:sz w:val="24"/>
          <w:szCs w:val="24"/>
          <w:u w:val="single"/>
          <w:lang w:val="en-US" w:eastAsia="zh-CN"/>
        </w:rPr>
        <w:t>本项目非专门面向中小企业采购</w:t>
      </w:r>
      <w:r>
        <w:rPr>
          <w:rFonts w:hint="eastAsia" w:ascii="宋体" w:hAnsi="宋体"/>
          <w:kern w:val="2"/>
          <w:sz w:val="24"/>
          <w:szCs w:val="24"/>
        </w:rPr>
        <w:t>。</w:t>
      </w:r>
    </w:p>
    <w:p w14:paraId="3CB6C7CE">
      <w:pPr>
        <w:widowControl/>
        <w:snapToGrid w:val="0"/>
        <w:spacing w:line="336" w:lineRule="auto"/>
        <w:ind w:firstLine="480" w:firstLineChars="200"/>
        <w:jc w:val="left"/>
        <w:rPr>
          <w:rFonts w:hint="eastAsia" w:ascii="宋体" w:hAnsi="宋体"/>
          <w:kern w:val="2"/>
          <w:sz w:val="24"/>
          <w:szCs w:val="24"/>
        </w:rPr>
      </w:pPr>
      <w:bookmarkStart w:id="0" w:name="OLE_LINK11"/>
      <w:r>
        <w:rPr>
          <w:rFonts w:hint="eastAsia" w:ascii="宋体" w:hAnsi="宋体"/>
          <w:kern w:val="2"/>
          <w:sz w:val="24"/>
          <w:szCs w:val="24"/>
        </w:rPr>
        <w:t>3.未被“信用中国”网站（www.creditchina.gov.cn）列入失信被执行人、重大税收违法案件当事人名单；未被中国政府采购网（http://www.ccgp.gov.cn/）列入政府采购严重失信行为记录名</w:t>
      </w:r>
      <w:r>
        <w:rPr>
          <w:rFonts w:hint="eastAsia" w:ascii="宋体" w:hAnsi="宋体"/>
          <w:kern w:val="2"/>
          <w:sz w:val="24"/>
          <w:szCs w:val="24"/>
          <w:highlight w:val="none"/>
        </w:rPr>
        <w:t>单。（响应文件中无需提供证明材料）</w:t>
      </w:r>
    </w:p>
    <w:p w14:paraId="5968A47D">
      <w:pPr>
        <w:widowControl/>
        <w:snapToGrid w:val="0"/>
        <w:spacing w:line="336" w:lineRule="auto"/>
        <w:ind w:firstLine="480" w:firstLineChars="200"/>
        <w:jc w:val="left"/>
        <w:rPr>
          <w:rFonts w:hint="eastAsia" w:ascii="宋体" w:hAnsi="宋体"/>
          <w:kern w:val="2"/>
          <w:sz w:val="24"/>
          <w:szCs w:val="24"/>
        </w:rPr>
      </w:pPr>
      <w:r>
        <w:rPr>
          <w:rFonts w:hint="eastAsia" w:ascii="宋体" w:hAnsi="宋体"/>
          <w:kern w:val="2"/>
          <w:sz w:val="24"/>
          <w:szCs w:val="24"/>
        </w:rPr>
        <w:t>4.供应商须提供诚信承诺书。</w:t>
      </w:r>
    </w:p>
    <w:bookmarkEnd w:id="0"/>
    <w:p w14:paraId="4B1BF237">
      <w:pPr>
        <w:spacing w:line="360" w:lineRule="auto"/>
        <w:ind w:firstLine="480"/>
        <w:rPr>
          <w:rFonts w:hint="eastAsia" w:ascii="宋体" w:hAnsi="宋体" w:cs="宋体"/>
          <w:sz w:val="24"/>
          <w:szCs w:val="24"/>
        </w:rPr>
      </w:pPr>
      <w:r>
        <w:rPr>
          <w:rFonts w:hint="eastAsia" w:ascii="宋体" w:hAnsi="宋体" w:cs="宋体"/>
          <w:sz w:val="24"/>
          <w:szCs w:val="24"/>
        </w:rPr>
        <w:t>5.拒绝下述供应商参加本次采购活动：</w:t>
      </w:r>
    </w:p>
    <w:p w14:paraId="0A2813A8">
      <w:pPr>
        <w:spacing w:line="360" w:lineRule="auto"/>
        <w:ind w:firstLine="480" w:firstLineChars="200"/>
        <w:rPr>
          <w:rFonts w:hint="eastAsia" w:ascii="宋体" w:hAnsi="宋体" w:cs="宋体"/>
          <w:sz w:val="24"/>
          <w:szCs w:val="24"/>
        </w:rPr>
      </w:pPr>
      <w:r>
        <w:rPr>
          <w:rFonts w:hint="eastAsia" w:ascii="宋体" w:hAnsi="宋体" w:cs="宋体"/>
          <w:sz w:val="24"/>
          <w:szCs w:val="24"/>
        </w:rPr>
        <w:t>供应商单位负责人为同一人或者存在直接控股、管理关系的不同供应商，不得参加同一合同项下的政府采购活动。</w:t>
      </w:r>
    </w:p>
    <w:p w14:paraId="53BA76BC">
      <w:pPr>
        <w:spacing w:line="360" w:lineRule="auto"/>
        <w:ind w:firstLine="482"/>
        <w:rPr>
          <w:rFonts w:ascii="Times New Roman" w:hAnsi="Times New Roman"/>
          <w:b/>
          <w:sz w:val="24"/>
          <w:szCs w:val="24"/>
          <w:lang w:val="zh-CN"/>
        </w:rPr>
      </w:pPr>
      <w:r>
        <w:rPr>
          <w:rFonts w:hint="eastAsia" w:ascii="Times New Roman" w:hAnsi="Times New Roman"/>
          <w:b/>
          <w:sz w:val="24"/>
          <w:szCs w:val="24"/>
          <w:lang w:val="zh-CN"/>
        </w:rPr>
        <w:t>具体资格要求详见第八章中的“资格审查文件”。</w:t>
      </w:r>
    </w:p>
    <w:p w14:paraId="3369E4F6">
      <w:pPr>
        <w:spacing w:line="360" w:lineRule="auto"/>
        <w:ind w:firstLine="482"/>
        <w:rPr>
          <w:rFonts w:ascii="Times New Roman" w:hAnsi="Times New Roman" w:cs="宋体"/>
          <w:bCs/>
          <w:sz w:val="24"/>
          <w:szCs w:val="24"/>
        </w:rPr>
      </w:pPr>
      <w:r>
        <w:rPr>
          <w:rFonts w:hint="eastAsia" w:ascii="Times New Roman" w:hAnsi="Times New Roman" w:cs="宋体"/>
          <w:b/>
          <w:bCs/>
          <w:sz w:val="24"/>
          <w:szCs w:val="24"/>
        </w:rPr>
        <w:t>三、</w:t>
      </w:r>
      <w:r>
        <w:rPr>
          <w:rFonts w:hint="eastAsia" w:ascii="Times New Roman" w:hAnsi="Times New Roman"/>
          <w:b/>
          <w:sz w:val="24"/>
          <w:szCs w:val="24"/>
        </w:rPr>
        <w:t>获取采购文件</w:t>
      </w:r>
    </w:p>
    <w:p w14:paraId="008182F8">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w:t>
      </w:r>
      <w:r>
        <w:rPr>
          <w:rFonts w:ascii="Times New Roman" w:hAnsi="Times New Roman" w:cs="宋体"/>
          <w:bCs/>
          <w:sz w:val="24"/>
          <w:szCs w:val="24"/>
        </w:rPr>
        <w:t>获取时间：</w:t>
      </w:r>
      <w:r>
        <w:rPr>
          <w:rFonts w:ascii="Times New Roman" w:hAnsi="Times New Roman" w:cs="宋体"/>
          <w:bCs/>
          <w:sz w:val="24"/>
          <w:szCs w:val="24"/>
          <w:u w:val="single"/>
        </w:rPr>
        <w:t>自</w:t>
      </w:r>
      <w:r>
        <w:rPr>
          <w:rFonts w:hint="eastAsia" w:ascii="Times New Roman" w:hAnsi="Times New Roman" w:cs="宋体"/>
          <w:bCs/>
          <w:sz w:val="24"/>
          <w:szCs w:val="24"/>
          <w:u w:val="single"/>
        </w:rPr>
        <w:t>本磋商公告</w:t>
      </w:r>
      <w:r>
        <w:rPr>
          <w:rFonts w:ascii="Times New Roman" w:hAnsi="Times New Roman" w:cs="宋体"/>
          <w:bCs/>
          <w:sz w:val="24"/>
          <w:szCs w:val="24"/>
          <w:u w:val="single"/>
        </w:rPr>
        <w:t>发布之日起</w:t>
      </w:r>
      <w:r>
        <w:rPr>
          <w:rFonts w:hint="eastAsia" w:ascii="Times New Roman" w:hAnsi="Times New Roman" w:cs="宋体"/>
          <w:bCs/>
          <w:sz w:val="24"/>
          <w:szCs w:val="24"/>
          <w:u w:val="single"/>
        </w:rPr>
        <w:t>至2026年</w:t>
      </w:r>
      <w:r>
        <w:rPr>
          <w:rFonts w:hint="eastAsia" w:ascii="Times New Roman" w:hAnsi="Times New Roman" w:cs="宋体"/>
          <w:bCs/>
          <w:sz w:val="24"/>
          <w:szCs w:val="24"/>
          <w:u w:val="single"/>
          <w:lang w:val="en-US" w:eastAsia="zh-CN"/>
        </w:rPr>
        <w:t>4</w:t>
      </w:r>
      <w:r>
        <w:rPr>
          <w:rFonts w:hint="eastAsia" w:ascii="Times New Roman" w:hAnsi="Times New Roman" w:cs="宋体"/>
          <w:bCs/>
          <w:sz w:val="24"/>
          <w:szCs w:val="24"/>
          <w:u w:val="single"/>
        </w:rPr>
        <w:t>月</w:t>
      </w:r>
      <w:r>
        <w:rPr>
          <w:rFonts w:hint="eastAsia" w:ascii="Times New Roman" w:hAnsi="Times New Roman" w:cs="宋体"/>
          <w:bCs/>
          <w:sz w:val="24"/>
          <w:szCs w:val="24"/>
          <w:u w:val="single"/>
          <w:lang w:val="en-US" w:eastAsia="zh-CN"/>
        </w:rPr>
        <w:t xml:space="preserve"> 21</w:t>
      </w:r>
      <w:r>
        <w:rPr>
          <w:rFonts w:hint="eastAsia" w:ascii="Times New Roman" w:hAnsi="Times New Roman" w:cs="宋体"/>
          <w:bCs/>
          <w:sz w:val="24"/>
          <w:szCs w:val="24"/>
          <w:u w:val="single"/>
        </w:rPr>
        <w:t>日</w:t>
      </w:r>
      <w:r>
        <w:rPr>
          <w:rFonts w:ascii="Times New Roman" w:hAnsi="Times New Roman" w:cs="宋体"/>
          <w:bCs/>
          <w:sz w:val="24"/>
          <w:szCs w:val="24"/>
        </w:rPr>
        <w:t>。</w:t>
      </w:r>
    </w:p>
    <w:p w14:paraId="038A1028">
      <w:pPr>
        <w:spacing w:line="360" w:lineRule="auto"/>
        <w:ind w:firstLine="480"/>
        <w:rPr>
          <w:rFonts w:ascii="Times New Roman" w:hAnsi="Times New Roman"/>
          <w:bCs/>
          <w:sz w:val="24"/>
          <w:szCs w:val="24"/>
        </w:rPr>
      </w:pPr>
      <w:r>
        <w:rPr>
          <w:rFonts w:hint="eastAsia" w:ascii="Times New Roman" w:hAnsi="Times New Roman"/>
          <w:sz w:val="24"/>
          <w:szCs w:val="24"/>
        </w:rPr>
        <w:t>2.地点：</w:t>
      </w:r>
      <w:r>
        <w:rPr>
          <w:rFonts w:hint="eastAsia"/>
          <w:sz w:val="24"/>
        </w:rPr>
        <w:t>南通市生态环境局官网-信息公开-公告公示栏</w:t>
      </w:r>
    </w:p>
    <w:p w14:paraId="629A7A83">
      <w:pPr>
        <w:spacing w:line="360" w:lineRule="auto"/>
        <w:ind w:firstLine="480"/>
        <w:rPr>
          <w:rFonts w:ascii="Times New Roman" w:hAnsi="Times New Roman"/>
          <w:bCs/>
          <w:sz w:val="24"/>
          <w:szCs w:val="24"/>
        </w:rPr>
      </w:pPr>
      <w:r>
        <w:rPr>
          <w:rFonts w:hint="eastAsia" w:ascii="Times New Roman" w:hAnsi="Times New Roman"/>
          <w:sz w:val="24"/>
          <w:szCs w:val="24"/>
        </w:rPr>
        <w:t>3.方式：自行下载</w:t>
      </w:r>
    </w:p>
    <w:p w14:paraId="5B5AF0D4">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四、响应文件提交</w:t>
      </w:r>
    </w:p>
    <w:p w14:paraId="4AD5CB8F">
      <w:pPr>
        <w:spacing w:line="360" w:lineRule="auto"/>
        <w:ind w:firstLine="480"/>
        <w:rPr>
          <w:rFonts w:ascii="Times New Roman" w:hAnsi="Times New Roman"/>
          <w:sz w:val="24"/>
          <w:highlight w:val="none"/>
        </w:rPr>
      </w:pPr>
      <w:r>
        <w:rPr>
          <w:rFonts w:hint="eastAsia" w:ascii="Times New Roman" w:hAnsi="Times New Roman" w:cs="宋体"/>
          <w:sz w:val="24"/>
          <w:szCs w:val="24"/>
        </w:rPr>
        <w:t>1.响应文件接收截止时间：2026年</w:t>
      </w:r>
      <w:r>
        <w:rPr>
          <w:rFonts w:hint="eastAsia" w:ascii="Times New Roman" w:hAnsi="Times New Roman" w:cs="宋体"/>
          <w:sz w:val="24"/>
          <w:szCs w:val="24"/>
          <w:lang w:val="en-US" w:eastAsia="zh-CN"/>
        </w:rPr>
        <w:t>4</w:t>
      </w:r>
      <w:r>
        <w:rPr>
          <w:rFonts w:hint="eastAsia" w:ascii="Times New Roman" w:hAnsi="Times New Roman" w:cs="宋体"/>
          <w:sz w:val="24"/>
          <w:szCs w:val="24"/>
        </w:rPr>
        <w:t>月</w:t>
      </w:r>
      <w:r>
        <w:rPr>
          <w:rFonts w:hint="eastAsia" w:ascii="Times New Roman" w:hAnsi="Times New Roman" w:cs="宋体"/>
          <w:sz w:val="24"/>
          <w:szCs w:val="24"/>
          <w:lang w:val="en-US" w:eastAsia="zh-CN"/>
        </w:rPr>
        <w:t>27</w:t>
      </w:r>
      <w:r>
        <w:rPr>
          <w:rFonts w:hint="eastAsia" w:ascii="Times New Roman" w:hAnsi="Times New Roman" w:cs="宋体"/>
          <w:sz w:val="24"/>
          <w:szCs w:val="24"/>
        </w:rPr>
        <w:t>日</w:t>
      </w:r>
      <w:r>
        <w:rPr>
          <w:rFonts w:hint="eastAsia" w:ascii="Times New Roman" w:hAnsi="Times New Roman" w:cs="宋体"/>
          <w:sz w:val="24"/>
          <w:szCs w:val="24"/>
          <w:lang w:val="en-US" w:eastAsia="zh-CN"/>
        </w:rPr>
        <w:t>14</w:t>
      </w:r>
      <w:r>
        <w:rPr>
          <w:rFonts w:hint="eastAsia" w:ascii="Times New Roman" w:hAnsi="Times New Roman" w:cs="宋体"/>
          <w:sz w:val="24"/>
          <w:szCs w:val="24"/>
        </w:rPr>
        <w:t>时</w:t>
      </w:r>
      <w:r>
        <w:rPr>
          <w:rFonts w:hint="eastAsia" w:ascii="Times New Roman" w:hAnsi="Times New Roman" w:cs="宋体"/>
          <w:sz w:val="24"/>
          <w:szCs w:val="24"/>
          <w:lang w:val="en-US" w:eastAsia="zh-CN"/>
        </w:rPr>
        <w:t>3</w:t>
      </w:r>
      <w:r>
        <w:rPr>
          <w:rFonts w:hint="eastAsia" w:ascii="Times New Roman" w:hAnsi="Times New Roman" w:cs="宋体"/>
          <w:sz w:val="24"/>
          <w:szCs w:val="24"/>
        </w:rPr>
        <w:t>0分</w:t>
      </w:r>
      <w:r>
        <w:rPr>
          <w:rFonts w:hint="eastAsia" w:ascii="Times New Roman" w:hAnsi="Times New Roman"/>
          <w:sz w:val="24"/>
        </w:rPr>
        <w:t>（北京时间）。逾时，采购人将拒绝</w:t>
      </w:r>
      <w:r>
        <w:rPr>
          <w:rFonts w:hint="eastAsia" w:ascii="Times New Roman" w:hAnsi="Times New Roman"/>
          <w:sz w:val="24"/>
          <w:lang w:eastAsia="zh-CN"/>
        </w:rPr>
        <w:t>接收</w:t>
      </w:r>
      <w:r>
        <w:rPr>
          <w:rFonts w:hint="eastAsia" w:ascii="Times New Roman" w:hAnsi="Times New Roman"/>
          <w:sz w:val="24"/>
        </w:rPr>
        <w:t>响应文件纸质文档。</w:t>
      </w:r>
    </w:p>
    <w:p w14:paraId="06EEFEED">
      <w:pPr>
        <w:spacing w:line="360" w:lineRule="auto"/>
        <w:ind w:firstLine="480"/>
        <w:rPr>
          <w:rFonts w:ascii="Times New Roman" w:hAnsi="Times New Roman" w:cs="宋体"/>
          <w:sz w:val="24"/>
          <w:szCs w:val="24"/>
          <w:highlight w:val="none"/>
        </w:rPr>
      </w:pPr>
      <w:r>
        <w:rPr>
          <w:rFonts w:hint="eastAsia" w:ascii="Times New Roman" w:hAnsi="Times New Roman"/>
          <w:sz w:val="24"/>
          <w:highlight w:val="none"/>
        </w:rPr>
        <w:t>2.</w:t>
      </w:r>
      <w:r>
        <w:rPr>
          <w:rFonts w:hint="eastAsia" w:ascii="Times New Roman" w:hAnsi="Times New Roman" w:cs="宋体"/>
          <w:sz w:val="24"/>
          <w:szCs w:val="24"/>
          <w:highlight w:val="none"/>
        </w:rPr>
        <w:t>响应文件递交地址：南通市崇川区姚港路52号江景苑G座南楼南通市生态环境局</w:t>
      </w:r>
      <w:r>
        <w:rPr>
          <w:rFonts w:hint="eastAsia" w:ascii="Times New Roman" w:hAnsi="Times New Roman" w:cs="宋体"/>
          <w:sz w:val="24"/>
          <w:szCs w:val="24"/>
          <w:highlight w:val="none"/>
          <w:lang w:val="en-US" w:eastAsia="zh-CN"/>
        </w:rPr>
        <w:t>3</w:t>
      </w:r>
      <w:r>
        <w:rPr>
          <w:rFonts w:hint="eastAsia" w:ascii="Times New Roman" w:hAnsi="Times New Roman" w:cs="宋体"/>
          <w:sz w:val="24"/>
          <w:szCs w:val="24"/>
          <w:highlight w:val="none"/>
        </w:rPr>
        <w:t>07  会议室，如有变动另行通知</w:t>
      </w:r>
      <w:r>
        <w:rPr>
          <w:rFonts w:hint="eastAsia" w:ascii="Times New Roman" w:hAnsi="Times New Roman"/>
          <w:sz w:val="24"/>
          <w:szCs w:val="24"/>
          <w:highlight w:val="none"/>
          <w:shd w:val="clear" w:color="auto" w:fill="FFFFFF"/>
        </w:rPr>
        <w:t>。</w:t>
      </w:r>
    </w:p>
    <w:p w14:paraId="19B672A3">
      <w:pPr>
        <w:spacing w:line="360" w:lineRule="auto"/>
        <w:ind w:firstLine="482"/>
        <w:rPr>
          <w:rFonts w:ascii="Times New Roman" w:hAnsi="Times New Roman" w:cs="宋体"/>
          <w:b/>
          <w:bCs/>
          <w:sz w:val="24"/>
          <w:szCs w:val="24"/>
          <w:highlight w:val="none"/>
        </w:rPr>
      </w:pPr>
      <w:r>
        <w:rPr>
          <w:rFonts w:hint="eastAsia" w:ascii="Times New Roman" w:hAnsi="Times New Roman" w:cs="宋体"/>
          <w:b/>
          <w:bCs/>
          <w:sz w:val="24"/>
          <w:szCs w:val="24"/>
          <w:highlight w:val="none"/>
        </w:rPr>
        <w:t>五、</w:t>
      </w:r>
      <w:r>
        <w:rPr>
          <w:rFonts w:hint="eastAsia" w:ascii="Times New Roman" w:hAnsi="Times New Roman" w:cs="宋体"/>
          <w:b/>
          <w:sz w:val="24"/>
          <w:highlight w:val="none"/>
        </w:rPr>
        <w:t>开启</w:t>
      </w:r>
    </w:p>
    <w:p w14:paraId="075894F6">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时间：2026年</w:t>
      </w:r>
      <w:r>
        <w:rPr>
          <w:rFonts w:hint="eastAsia" w:ascii="Times New Roman" w:hAnsi="Times New Roman" w:cs="宋体"/>
          <w:sz w:val="24"/>
          <w:szCs w:val="24"/>
          <w:highlight w:val="none"/>
          <w:lang w:val="en-US" w:eastAsia="zh-CN"/>
        </w:rPr>
        <w:t>4</w:t>
      </w:r>
      <w:r>
        <w:rPr>
          <w:rFonts w:hint="eastAsia" w:ascii="Times New Roman" w:hAnsi="Times New Roman" w:cs="宋体"/>
          <w:sz w:val="24"/>
          <w:szCs w:val="24"/>
          <w:highlight w:val="none"/>
        </w:rPr>
        <w:t>月</w:t>
      </w:r>
      <w:r>
        <w:rPr>
          <w:rFonts w:hint="eastAsia" w:ascii="Times New Roman" w:hAnsi="Times New Roman" w:cs="宋体"/>
          <w:sz w:val="24"/>
          <w:szCs w:val="24"/>
          <w:highlight w:val="none"/>
          <w:lang w:val="en-US" w:eastAsia="zh-CN"/>
        </w:rPr>
        <w:t>27</w:t>
      </w:r>
      <w:r>
        <w:rPr>
          <w:rFonts w:hint="eastAsia" w:ascii="Times New Roman" w:hAnsi="Times New Roman" w:cs="宋体"/>
          <w:sz w:val="24"/>
          <w:szCs w:val="24"/>
          <w:highlight w:val="none"/>
        </w:rPr>
        <w:t>日</w:t>
      </w:r>
      <w:r>
        <w:rPr>
          <w:rFonts w:hint="eastAsia" w:ascii="Times New Roman" w:hAnsi="Times New Roman" w:cs="宋体"/>
          <w:sz w:val="24"/>
          <w:szCs w:val="24"/>
          <w:highlight w:val="none"/>
          <w:lang w:val="en-US" w:eastAsia="zh-CN"/>
        </w:rPr>
        <w:t>14</w:t>
      </w:r>
      <w:r>
        <w:rPr>
          <w:rFonts w:hint="eastAsia" w:ascii="Times New Roman" w:hAnsi="Times New Roman" w:cs="宋体"/>
          <w:sz w:val="24"/>
          <w:szCs w:val="24"/>
          <w:highlight w:val="none"/>
        </w:rPr>
        <w:t>时</w:t>
      </w:r>
      <w:r>
        <w:rPr>
          <w:rFonts w:hint="eastAsia" w:ascii="Times New Roman" w:hAnsi="Times New Roman" w:cs="宋体"/>
          <w:sz w:val="24"/>
          <w:szCs w:val="24"/>
          <w:highlight w:val="none"/>
          <w:lang w:val="en-US" w:eastAsia="zh-CN"/>
        </w:rPr>
        <w:t>30</w:t>
      </w:r>
      <w:r>
        <w:rPr>
          <w:rFonts w:hint="eastAsia" w:ascii="Times New Roman" w:hAnsi="Times New Roman" w:cs="宋体"/>
          <w:sz w:val="24"/>
          <w:szCs w:val="24"/>
          <w:highlight w:val="none"/>
        </w:rPr>
        <w:t>分（北京时间）。</w:t>
      </w:r>
    </w:p>
    <w:p w14:paraId="6C574841">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地点：南通市崇川区姚港路52号江景苑G座南楼南通市生态环境局</w:t>
      </w:r>
      <w:r>
        <w:rPr>
          <w:rFonts w:hint="eastAsia" w:ascii="Times New Roman" w:hAnsi="Times New Roman" w:cs="宋体"/>
          <w:sz w:val="24"/>
          <w:szCs w:val="24"/>
          <w:highlight w:val="none"/>
          <w:lang w:val="en-US" w:eastAsia="zh-CN"/>
        </w:rPr>
        <w:t>307</w:t>
      </w:r>
      <w:r>
        <w:rPr>
          <w:rFonts w:hint="eastAsia" w:ascii="Times New Roman" w:hAnsi="Times New Roman" w:cs="宋体"/>
          <w:sz w:val="24"/>
          <w:szCs w:val="24"/>
          <w:highlight w:val="none"/>
        </w:rPr>
        <w:t>会议室，如有变动另行通知</w:t>
      </w:r>
      <w:r>
        <w:rPr>
          <w:rFonts w:hint="eastAsia" w:ascii="Times New Roman" w:hAnsi="Times New Roman"/>
          <w:sz w:val="24"/>
          <w:szCs w:val="24"/>
          <w:highlight w:val="none"/>
          <w:shd w:val="clear" w:color="auto" w:fill="FFFFFF"/>
        </w:rPr>
        <w:t>。</w:t>
      </w:r>
    </w:p>
    <w:p w14:paraId="6B7BC9DD">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六、公告期限</w:t>
      </w:r>
    </w:p>
    <w:p w14:paraId="06FC24FD">
      <w:pPr>
        <w:spacing w:line="360" w:lineRule="auto"/>
        <w:ind w:firstLine="480"/>
        <w:rPr>
          <w:rFonts w:ascii="Times New Roman" w:hAnsi="Times New Roman" w:cs="宋体"/>
          <w:sz w:val="24"/>
        </w:rPr>
      </w:pPr>
      <w:r>
        <w:rPr>
          <w:rFonts w:hint="eastAsia" w:ascii="Times New Roman" w:hAnsi="Times New Roman" w:cs="宋体"/>
          <w:sz w:val="24"/>
        </w:rPr>
        <w:t>自本公告发布之日起3个工作日。</w:t>
      </w:r>
    </w:p>
    <w:p w14:paraId="1223C193">
      <w:pPr>
        <w:spacing w:line="360" w:lineRule="auto"/>
        <w:ind w:firstLine="482"/>
        <w:rPr>
          <w:rFonts w:ascii="Times New Roman" w:hAnsi="Times New Roman" w:cs="宋体"/>
          <w:b/>
          <w:bCs/>
          <w:sz w:val="24"/>
          <w:szCs w:val="24"/>
        </w:rPr>
      </w:pPr>
      <w:r>
        <w:rPr>
          <w:rFonts w:hint="eastAsia" w:ascii="Times New Roman" w:hAnsi="Times New Roman" w:cs="宋体"/>
          <w:b/>
          <w:bCs/>
          <w:sz w:val="24"/>
          <w:szCs w:val="24"/>
        </w:rPr>
        <w:t>七、其他补充事宜：</w:t>
      </w:r>
    </w:p>
    <w:p w14:paraId="00C5D8B5">
      <w:pPr>
        <w:spacing w:line="360" w:lineRule="auto"/>
        <w:ind w:firstLine="480"/>
        <w:rPr>
          <w:rFonts w:ascii="Times New Roman" w:hAnsi="Times New Roman" w:cs="宋体"/>
          <w:bCs/>
          <w:sz w:val="24"/>
          <w:szCs w:val="24"/>
        </w:rPr>
      </w:pPr>
      <w:r>
        <w:rPr>
          <w:rFonts w:hint="eastAsia" w:ascii="Times New Roman" w:hAnsi="Times New Roman" w:cs="宋体"/>
          <w:bCs/>
          <w:sz w:val="24"/>
          <w:szCs w:val="24"/>
        </w:rPr>
        <w:t>1.本项目不收取磋商保证金，采购文件中涉及磋商保证金的事项，均按免收保证金。</w:t>
      </w:r>
    </w:p>
    <w:p w14:paraId="411742FD">
      <w:pPr>
        <w:spacing w:line="360" w:lineRule="auto"/>
        <w:ind w:firstLine="480"/>
        <w:rPr>
          <w:rFonts w:ascii="Times New Roman" w:hAnsi="Times New Roman"/>
          <w:sz w:val="24"/>
          <w:szCs w:val="24"/>
        </w:rPr>
      </w:pPr>
      <w:r>
        <w:rPr>
          <w:rFonts w:hint="eastAsia" w:ascii="Times New Roman" w:hAnsi="Times New Roman"/>
          <w:sz w:val="24"/>
          <w:szCs w:val="24"/>
        </w:rPr>
        <w:t>2.履约保证金：免收。</w:t>
      </w:r>
    </w:p>
    <w:p w14:paraId="3471B655">
      <w:pPr>
        <w:spacing w:line="360" w:lineRule="auto"/>
        <w:ind w:firstLine="480"/>
        <w:rPr>
          <w:rFonts w:ascii="Times New Roman" w:hAnsi="Times New Roman"/>
          <w:sz w:val="24"/>
          <w:szCs w:val="24"/>
        </w:rPr>
      </w:pPr>
      <w:r>
        <w:rPr>
          <w:rFonts w:hint="eastAsia" w:ascii="Times New Roman" w:hAnsi="Times New Roman"/>
          <w:sz w:val="24"/>
          <w:szCs w:val="24"/>
        </w:rPr>
        <w:t>3.对项目需求部分（供应商其他资格要求、项目需求、评分标准）的询问、质疑请向采购人提出，由采购人负责答复；对项目磋商文件其它部分的询问请向采购人或采购代理提出。</w:t>
      </w:r>
    </w:p>
    <w:p w14:paraId="096CB8B1">
      <w:pPr>
        <w:spacing w:line="360" w:lineRule="auto"/>
        <w:ind w:firstLine="480"/>
        <w:rPr>
          <w:rFonts w:ascii="Times New Roman" w:hAnsi="Times New Roman"/>
          <w:sz w:val="24"/>
          <w:szCs w:val="24"/>
        </w:rPr>
      </w:pPr>
      <w:r>
        <w:rPr>
          <w:rFonts w:hint="eastAsia" w:ascii="Times New Roman" w:hAnsi="Times New Roman"/>
          <w:sz w:val="24"/>
          <w:szCs w:val="24"/>
        </w:rPr>
        <w:t>4.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2AF621AA">
      <w:pPr>
        <w:spacing w:line="360" w:lineRule="auto"/>
        <w:ind w:firstLine="482"/>
        <w:rPr>
          <w:rFonts w:ascii="Times New Roman" w:hAnsi="Times New Roman"/>
          <w:b/>
          <w:sz w:val="24"/>
          <w:szCs w:val="24"/>
        </w:rPr>
      </w:pPr>
      <w:r>
        <w:rPr>
          <w:rFonts w:hint="eastAsia" w:ascii="Times New Roman" w:hAnsi="Times New Roman" w:cs="宋体"/>
          <w:b/>
          <w:sz w:val="24"/>
          <w:szCs w:val="24"/>
        </w:rPr>
        <w:t>八、凡对本次采购提出询问，请按以下方式联系</w:t>
      </w:r>
    </w:p>
    <w:p w14:paraId="3F76358C">
      <w:pPr>
        <w:spacing w:line="360" w:lineRule="auto"/>
        <w:ind w:firstLine="480"/>
        <w:rPr>
          <w:rFonts w:ascii="Times New Roman" w:hAnsi="Times New Roman"/>
          <w:sz w:val="24"/>
          <w:szCs w:val="24"/>
        </w:rPr>
      </w:pPr>
      <w:r>
        <w:rPr>
          <w:rFonts w:hint="eastAsia" w:ascii="Times New Roman" w:hAnsi="Times New Roman"/>
          <w:sz w:val="24"/>
          <w:szCs w:val="24"/>
        </w:rPr>
        <w:t>1.采购人信息</w:t>
      </w:r>
    </w:p>
    <w:p w14:paraId="34F11DF1">
      <w:pPr>
        <w:spacing w:line="360" w:lineRule="auto"/>
        <w:ind w:firstLine="480"/>
        <w:rPr>
          <w:rFonts w:ascii="Times New Roman" w:hAnsi="Times New Roman"/>
          <w:sz w:val="24"/>
          <w:szCs w:val="24"/>
        </w:rPr>
      </w:pPr>
      <w:r>
        <w:rPr>
          <w:rFonts w:hint="eastAsia" w:ascii="Times New Roman" w:hAnsi="Times New Roman"/>
          <w:sz w:val="24"/>
          <w:szCs w:val="24"/>
        </w:rPr>
        <w:t>名称：南通市生态环境局</w:t>
      </w:r>
      <w:r>
        <w:rPr>
          <w:rFonts w:ascii="Times New Roman" w:hAnsi="Times New Roman"/>
          <w:sz w:val="24"/>
          <w:szCs w:val="24"/>
        </w:rPr>
        <w:t xml:space="preserve"> </w:t>
      </w:r>
    </w:p>
    <w:p w14:paraId="2116777A">
      <w:pPr>
        <w:spacing w:line="360" w:lineRule="auto"/>
        <w:ind w:firstLine="480"/>
        <w:rPr>
          <w:rFonts w:ascii="Times New Roman" w:hAnsi="Times New Roman"/>
          <w:sz w:val="24"/>
          <w:szCs w:val="24"/>
        </w:rPr>
      </w:pPr>
      <w:r>
        <w:rPr>
          <w:rFonts w:hint="eastAsia" w:ascii="Times New Roman" w:hAnsi="Times New Roman"/>
          <w:sz w:val="24"/>
          <w:szCs w:val="24"/>
        </w:rPr>
        <w:t>地址：南通市崇川区姚港路52号江景苑G座南楼</w:t>
      </w:r>
    </w:p>
    <w:p w14:paraId="75F23D63">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沈先生</w:t>
      </w:r>
    </w:p>
    <w:p w14:paraId="3D6DBE69">
      <w:pPr>
        <w:spacing w:line="360" w:lineRule="auto"/>
        <w:ind w:firstLine="480"/>
        <w:rPr>
          <w:rFonts w:hint="eastAsia" w:ascii="Times New Roman" w:hAnsi="Times New Roman" w:eastAsia="宋体"/>
          <w:sz w:val="24"/>
          <w:szCs w:val="24"/>
          <w:highlight w:val="none"/>
          <w:lang w:eastAsia="zh-CN"/>
        </w:rPr>
      </w:pPr>
      <w:r>
        <w:rPr>
          <w:rFonts w:hint="eastAsia" w:ascii="Times New Roman" w:hAnsi="Times New Roman"/>
          <w:sz w:val="24"/>
          <w:szCs w:val="24"/>
          <w:highlight w:val="none"/>
        </w:rPr>
        <w:t>联系方式：</w:t>
      </w:r>
      <w:r>
        <w:rPr>
          <w:rFonts w:hint="eastAsia" w:ascii="Times New Roman" w:hAnsi="Times New Roman"/>
          <w:sz w:val="24"/>
          <w:szCs w:val="24"/>
          <w:highlight w:val="none"/>
          <w:lang w:val="en-US" w:eastAsia="zh-CN"/>
        </w:rPr>
        <w:t>0513-59002803</w:t>
      </w:r>
    </w:p>
    <w:p w14:paraId="09DE9594">
      <w:pPr>
        <w:spacing w:line="360" w:lineRule="auto"/>
        <w:ind w:firstLine="480"/>
        <w:rPr>
          <w:rFonts w:ascii="Times New Roman" w:hAnsi="Times New Roman" w:cs="宋体"/>
          <w:bCs/>
          <w:sz w:val="24"/>
        </w:rPr>
      </w:pPr>
      <w:r>
        <w:rPr>
          <w:rFonts w:hint="eastAsia" w:ascii="Times New Roman" w:hAnsi="Times New Roman" w:cs="宋体"/>
          <w:bCs/>
          <w:sz w:val="24"/>
        </w:rPr>
        <w:t>2.采购代理机构信息</w:t>
      </w:r>
    </w:p>
    <w:p w14:paraId="3B1CFF2C">
      <w:pPr>
        <w:spacing w:line="360" w:lineRule="auto"/>
        <w:ind w:firstLine="480"/>
        <w:rPr>
          <w:rFonts w:ascii="Times New Roman" w:hAnsi="Times New Roman" w:cs="宋体"/>
          <w:bCs/>
          <w:sz w:val="24"/>
        </w:rPr>
      </w:pPr>
      <w:r>
        <w:rPr>
          <w:rFonts w:hint="eastAsia" w:ascii="Times New Roman" w:hAnsi="Times New Roman" w:cs="宋体"/>
          <w:bCs/>
          <w:sz w:val="24"/>
        </w:rPr>
        <w:t>名称：中通服网盈科技有限公司</w:t>
      </w:r>
      <w:r>
        <w:rPr>
          <w:rFonts w:ascii="Times New Roman" w:hAnsi="Times New Roman" w:cs="宋体"/>
          <w:bCs/>
          <w:sz w:val="24"/>
        </w:rPr>
        <w:t xml:space="preserve"> </w:t>
      </w:r>
    </w:p>
    <w:p w14:paraId="6275FB7F">
      <w:pPr>
        <w:spacing w:line="360" w:lineRule="auto"/>
        <w:ind w:firstLine="480"/>
        <w:rPr>
          <w:rFonts w:ascii="Times New Roman" w:hAnsi="Times New Roman"/>
          <w:sz w:val="24"/>
          <w:szCs w:val="24"/>
        </w:rPr>
      </w:pPr>
      <w:r>
        <w:rPr>
          <w:rFonts w:hint="eastAsia" w:ascii="Times New Roman" w:hAnsi="Times New Roman"/>
          <w:sz w:val="24"/>
          <w:szCs w:val="24"/>
        </w:rPr>
        <w:t>地址：</w:t>
      </w:r>
      <w:r>
        <w:rPr>
          <w:rFonts w:ascii="Times New Roman" w:hAnsi="Times New Roman"/>
          <w:sz w:val="24"/>
          <w:szCs w:val="24"/>
        </w:rPr>
        <w:t xml:space="preserve"> </w:t>
      </w:r>
      <w:r>
        <w:rPr>
          <w:rFonts w:hint="eastAsia" w:ascii="Times New Roman" w:hAnsi="Times New Roman"/>
          <w:sz w:val="24"/>
          <w:szCs w:val="24"/>
        </w:rPr>
        <w:t>南通市崇川区环城南路11号</w:t>
      </w:r>
    </w:p>
    <w:p w14:paraId="633E2009">
      <w:pPr>
        <w:spacing w:line="360" w:lineRule="auto"/>
        <w:ind w:firstLine="480"/>
        <w:rPr>
          <w:rFonts w:ascii="Times New Roman" w:hAnsi="Times New Roman"/>
          <w:sz w:val="24"/>
          <w:szCs w:val="24"/>
        </w:rPr>
      </w:pPr>
      <w:r>
        <w:rPr>
          <w:rFonts w:hint="eastAsia" w:ascii="Times New Roman" w:hAnsi="Times New Roman"/>
          <w:sz w:val="24"/>
          <w:szCs w:val="24"/>
        </w:rPr>
        <w:t>联系人：尹淑瑜</w:t>
      </w:r>
      <w:r>
        <w:rPr>
          <w:rFonts w:ascii="Times New Roman" w:hAnsi="Times New Roman"/>
          <w:sz w:val="24"/>
          <w:szCs w:val="24"/>
        </w:rPr>
        <w:t xml:space="preserve"> </w:t>
      </w:r>
      <w:r>
        <w:rPr>
          <w:rFonts w:hint="eastAsia" w:ascii="Times New Roman" w:hAnsi="Times New Roman"/>
          <w:sz w:val="24"/>
          <w:szCs w:val="24"/>
        </w:rPr>
        <w:t>顾蓉蓉</w:t>
      </w:r>
    </w:p>
    <w:p w14:paraId="615FDE7F">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w:t>
      </w:r>
      <w:bookmarkStart w:id="1" w:name="_Toc28359087"/>
      <w:bookmarkStart w:id="2" w:name="_Toc28359010"/>
      <w:r>
        <w:rPr>
          <w:rFonts w:hint="eastAsia" w:ascii="Times New Roman" w:hAnsi="Times New Roman"/>
          <w:sz w:val="24"/>
          <w:szCs w:val="24"/>
        </w:rPr>
        <w:t>方式：</w:t>
      </w:r>
      <w:bookmarkEnd w:id="1"/>
      <w:bookmarkEnd w:id="2"/>
      <w:r>
        <w:rPr>
          <w:rFonts w:hint="eastAsia" w:ascii="Times New Roman" w:hAnsi="Times New Roman"/>
          <w:sz w:val="24"/>
          <w:szCs w:val="24"/>
          <w:lang w:val="en-US" w:eastAsia="zh-CN"/>
        </w:rPr>
        <w:t>13921605710</w:t>
      </w:r>
    </w:p>
    <w:p w14:paraId="35E79730">
      <w:pPr>
        <w:spacing w:line="360" w:lineRule="auto"/>
        <w:ind w:firstLine="480"/>
        <w:rPr>
          <w:rFonts w:ascii="Times New Roman" w:hAnsi="Times New Roman"/>
          <w:sz w:val="24"/>
          <w:szCs w:val="24"/>
        </w:rPr>
      </w:pPr>
      <w:r>
        <w:rPr>
          <w:rFonts w:hint="eastAsia" w:ascii="Times New Roman" w:hAnsi="Times New Roman"/>
          <w:sz w:val="24"/>
          <w:szCs w:val="24"/>
        </w:rPr>
        <w:t xml:space="preserve">3.项目联系方式 </w:t>
      </w:r>
    </w:p>
    <w:p w14:paraId="69ED3766">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联系人：</w:t>
      </w:r>
      <w:r>
        <w:rPr>
          <w:rFonts w:hint="eastAsia" w:ascii="Times New Roman" w:hAnsi="Times New Roman"/>
          <w:sz w:val="24"/>
          <w:szCs w:val="24"/>
          <w:lang w:val="en-US" w:eastAsia="zh-CN"/>
        </w:rPr>
        <w:t>尹淑瑜</w:t>
      </w:r>
    </w:p>
    <w:p w14:paraId="5F5DD9F7">
      <w:pPr>
        <w:spacing w:line="360" w:lineRule="auto"/>
        <w:ind w:firstLine="480"/>
        <w:rPr>
          <w:rFonts w:hint="default" w:ascii="Times New Roman" w:hAnsi="Times New Roman" w:eastAsia="宋体"/>
          <w:sz w:val="24"/>
          <w:szCs w:val="24"/>
          <w:lang w:val="en-US" w:eastAsia="zh-CN"/>
        </w:rPr>
      </w:pPr>
      <w:r>
        <w:rPr>
          <w:rFonts w:hint="eastAsia" w:ascii="Times New Roman" w:hAnsi="Times New Roman"/>
          <w:sz w:val="24"/>
          <w:szCs w:val="24"/>
        </w:rPr>
        <w:t>电话：</w:t>
      </w:r>
      <w:r>
        <w:rPr>
          <w:rFonts w:hint="eastAsia" w:ascii="Times New Roman" w:hAnsi="Times New Roman"/>
          <w:sz w:val="24"/>
          <w:szCs w:val="24"/>
          <w:lang w:val="en-US" w:eastAsia="zh-CN"/>
        </w:rPr>
        <w:t>13921605710</w:t>
      </w:r>
    </w:p>
    <w:p w14:paraId="2303C525">
      <w:pPr>
        <w:spacing w:line="360" w:lineRule="auto"/>
        <w:ind w:firstLine="480"/>
        <w:rPr>
          <w:rFonts w:ascii="Times New Roman" w:hAnsi="Times New Roman"/>
          <w:b/>
          <w:color w:val="000000" w:themeColor="text1"/>
          <w:sz w:val="24"/>
          <w:szCs w:val="24"/>
          <w14:textFill>
            <w14:solidFill>
              <w14:schemeClr w14:val="tx1"/>
            </w14:solidFill>
          </w14:textFill>
        </w:rPr>
      </w:pPr>
    </w:p>
    <w:p w14:paraId="34C9E6D3">
      <w:pPr>
        <w:spacing w:line="360" w:lineRule="auto"/>
        <w:ind w:firstLine="480"/>
        <w:rPr>
          <w:rFonts w:ascii="Times New Roman" w:hAnsi="Times New Roman"/>
          <w:b/>
          <w:color w:val="000000" w:themeColor="text1"/>
          <w:sz w:val="24"/>
          <w:szCs w:val="24"/>
          <w14:textFill>
            <w14:solidFill>
              <w14:schemeClr w14:val="tx1"/>
            </w14:solidFill>
          </w14:textFill>
        </w:rPr>
      </w:pPr>
    </w:p>
    <w:p w14:paraId="680F9DB1">
      <w:pPr>
        <w:spacing w:line="360" w:lineRule="auto"/>
        <w:ind w:firstLine="480"/>
        <w:rPr>
          <w:rFonts w:ascii="Times New Roman" w:hAnsi="Times New Roman"/>
          <w:b/>
          <w:color w:val="000000" w:themeColor="text1"/>
          <w:sz w:val="24"/>
          <w:szCs w:val="24"/>
          <w14:textFill>
            <w14:solidFill>
              <w14:schemeClr w14:val="tx1"/>
            </w14:solidFill>
          </w14:textFill>
        </w:rPr>
      </w:pPr>
    </w:p>
    <w:p w14:paraId="3A3CB4CA">
      <w:pPr>
        <w:spacing w:line="360" w:lineRule="auto"/>
        <w:ind w:firstLine="480"/>
        <w:rPr>
          <w:rFonts w:ascii="Times New Roman" w:hAnsi="Times New Roman"/>
          <w:b/>
          <w:color w:val="000000" w:themeColor="text1"/>
          <w:sz w:val="24"/>
          <w:szCs w:val="24"/>
          <w14:textFill>
            <w14:solidFill>
              <w14:schemeClr w14:val="tx1"/>
            </w14:solidFill>
          </w14:textFill>
        </w:rPr>
      </w:pPr>
    </w:p>
    <w:p w14:paraId="757DD1A0">
      <w:pPr>
        <w:widowControl/>
        <w:jc w:val="left"/>
        <w:rPr>
          <w:rFonts w:ascii="Times New Roman" w:hAnsi="Times New Roman"/>
          <w:b/>
          <w:color w:val="000000" w:themeColor="text1"/>
          <w:sz w:val="48"/>
          <w:szCs w:val="44"/>
          <w14:textFill>
            <w14:solidFill>
              <w14:schemeClr w14:val="tx1"/>
            </w14:solidFill>
          </w14:textFill>
        </w:rPr>
      </w:pPr>
    </w:p>
    <w:p w14:paraId="76DFE753">
      <w:pPr>
        <w:pStyle w:val="2"/>
        <w:keepNext w:val="0"/>
        <w:keepLines w:val="0"/>
        <w:spacing w:before="0" w:after="0" w:line="360" w:lineRule="auto"/>
        <w:jc w:val="center"/>
        <w:rPr>
          <w:rFonts w:ascii="Times New Roman" w:hAnsi="Times New Roman" w:eastAsia="宋体"/>
          <w:color w:val="000000" w:themeColor="text1"/>
          <w:sz w:val="48"/>
          <w:szCs w:val="44"/>
          <w14:textFill>
            <w14:solidFill>
              <w14:schemeClr w14:val="tx1"/>
            </w14:solidFill>
          </w14:textFill>
        </w:rPr>
      </w:pPr>
      <w:r>
        <w:rPr>
          <w:rFonts w:ascii="Times New Roman" w:hAnsi="Times New Roman" w:eastAsia="宋体"/>
          <w:color w:val="000000" w:themeColor="text1"/>
          <w:sz w:val="48"/>
          <w:szCs w:val="44"/>
          <w14:textFill>
            <w14:solidFill>
              <w14:schemeClr w14:val="tx1"/>
            </w14:solidFill>
          </w14:textFill>
        </w:rPr>
        <w:br w:type="page" w:clear="all"/>
      </w:r>
      <w:r>
        <w:rPr>
          <w:rFonts w:hint="eastAsia" w:ascii="Times New Roman" w:hAnsi="Times New Roman" w:eastAsia="宋体"/>
          <w:color w:val="000000" w:themeColor="text1"/>
          <w:sz w:val="48"/>
          <w:szCs w:val="44"/>
          <w14:textFill>
            <w14:solidFill>
              <w14:schemeClr w14:val="tx1"/>
            </w14:solidFill>
          </w14:textFill>
        </w:rPr>
        <w:t>第二章 供应商须知</w:t>
      </w:r>
    </w:p>
    <w:p w14:paraId="06BA5344">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一、说明</w:t>
      </w:r>
    </w:p>
    <w:p w14:paraId="351911C6">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1.本竞争性磋商文件仅适用于采购人组织的竞争性磋商采购活动。</w:t>
      </w:r>
    </w:p>
    <w:p w14:paraId="1DCBAA01">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2.竞争性磋商活动及因本次磋商产生的合同受中国法律制约和保护。</w:t>
      </w:r>
    </w:p>
    <w:p w14:paraId="2945B05F">
      <w:pPr>
        <w:spacing w:line="360" w:lineRule="auto"/>
        <w:ind w:firstLine="480"/>
        <w:rPr>
          <w:rFonts w:ascii="Times New Roman" w:hAnsi="Times New Roman" w:cs="宋体"/>
          <w:bCs/>
          <w:color w:val="000000" w:themeColor="text1"/>
          <w:sz w:val="24"/>
          <w:szCs w:val="24"/>
          <w14:textFill>
            <w14:solidFill>
              <w14:schemeClr w14:val="tx1"/>
            </w14:solidFill>
          </w14:textFill>
        </w:rPr>
      </w:pPr>
      <w:r>
        <w:rPr>
          <w:rFonts w:hint="eastAsia" w:ascii="Times New Roman" w:hAnsi="Times New Roman" w:cs="宋体"/>
          <w:bCs/>
          <w:color w:val="000000" w:themeColor="text1"/>
          <w:sz w:val="24"/>
          <w:szCs w:val="24"/>
          <w14:textFill>
            <w14:solidFill>
              <w14:schemeClr w14:val="tx1"/>
            </w14:solidFill>
          </w14:textFill>
        </w:rPr>
        <w:t>3.竞争性磋商文件的解释权属于采购人。</w:t>
      </w:r>
    </w:p>
    <w:p w14:paraId="718BF55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4.供应商应认真审阅磋商文件中所有的事项、格式、条款和规范要求等，如果供应商没有按照磋商文件要求提交响应文件，或者响应文件没有对磋商文件做出实质性响应，将被拒绝参与项目的磋商。</w:t>
      </w:r>
    </w:p>
    <w:p w14:paraId="214FF9BA">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二、磋商文件的澄清、修改、答疑</w:t>
      </w:r>
    </w:p>
    <w:p w14:paraId="142C166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1.采购人、采购代理机构有权对发出的磋商文件进行必要的澄清、修改或补充。</w:t>
      </w:r>
    </w:p>
    <w:p w14:paraId="7A656D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2.磋商文件的澄清、修改、补充等内容均以书面明确的形式发布，并以南通市生态环境局官网发布的信息为准。</w:t>
      </w:r>
    </w:p>
    <w:p w14:paraId="201B254E">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3.采购人、采购代理机构对磋商文件的澄清、修改将构成磋商文件的一部分，对响应磋商的供应商具有约束力。</w:t>
      </w:r>
    </w:p>
    <w:p w14:paraId="4C72EAD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提交首次响应文件截止之日前，采购人、采购代理机构可以对已发出的磋商文件进行必要的澄清或修改，澄清或者修改的内容作为磋商文件的组成部分。澄清或者修改的内容可能影响到响应文件编制的，采购人、采购代理机构在提交首次响应文件截止时间至少5日前，以书面形式通知所有获取磋商文件的供应商；不足5日的，采购人、采购代理机构顺延提交首次响应文件截止时间。</w:t>
      </w:r>
    </w:p>
    <w:p w14:paraId="6FA81B3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5.除非采购人、采购代理机构以书面的形式对磋商文件作出澄清、修改及补充，供应商对涉及磋商文件的任何推论、理解和结论所造成的结果，均由供应商自负。</w:t>
      </w:r>
    </w:p>
    <w:p w14:paraId="1F28D00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6.采购单位视情组织答疑会。如有产生答疑且对磋商文件内容有修改，代理机构将按照本须知有关规定，以补充通知（公告）的方式发出。</w:t>
      </w:r>
    </w:p>
    <w:p w14:paraId="7BC1FF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三、本项目涉及到的现场勘察</w:t>
      </w:r>
    </w:p>
    <w:p w14:paraId="5C6DF2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1.根据自身需要，供应商可在响应文件递交之日前对有关现场和周围环境进行勘察，以获取编制响应文件和签署合同所需的信息。勘察现场所发生的费用由供应商自己承担。</w:t>
      </w:r>
    </w:p>
    <w:p w14:paraId="010AFA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2.采购人向供应商提供的有关现场的资料和数据，是采购人现有的并认为能使供应商可利用的资料。采购人对供应商由此而做出的推论、理解和结论概不负责。</w:t>
      </w:r>
    </w:p>
    <w:p w14:paraId="1D298D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3.经采购人允许，供应商可为勘察目的进入采购人的项目现场，但供应商不得因此使采购人承担有关的责任和蒙受损失。供应商应承担勘察现场的责任和风险。</w:t>
      </w:r>
    </w:p>
    <w:p w14:paraId="5E36150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应认真踏勘现场。在现场勘察时，熟悉现场及周围交通道路等情况，以获得一切可能影响其响应的直接资料。供应商磋商成交后，不得以不完全了解现场情况为理由而向采购人提出任何索赔的要求，对此采购人不承担任何责任并将不作任何答复与考虑。</w:t>
      </w:r>
    </w:p>
    <w:p w14:paraId="5BD0F29C">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四、响应文件的编制及装订</w:t>
      </w:r>
    </w:p>
    <w:p w14:paraId="79F83D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供应商按磋商文件要求编写响应文件，并装订成册（不得采用活页夹等可随时拆换的方式装订）。响应文件不得行间插字、涂改、增删，如修改错漏处，须经响应文件签署人签字并加盖公章。</w:t>
      </w:r>
    </w:p>
    <w:p w14:paraId="43497CF9">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五、响应文件的份数和签署</w:t>
      </w:r>
    </w:p>
    <w:p w14:paraId="754C310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1.响应文件由：</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资格审查文件、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商务技术响应文件、③报价响应文件共3部分组成（以下由文件序号代称）。</w:t>
      </w:r>
    </w:p>
    <w:p w14:paraId="07029C56">
      <w:pPr>
        <w:spacing w:line="360" w:lineRule="auto"/>
        <w:ind w:firstLine="480"/>
        <w:rPr>
          <w:rFonts w:ascii="Times New Roman" w:hAnsi="Times New Roman" w:cs="宋体"/>
          <w:b/>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w:t>
      </w:r>
      <w:r>
        <w:rPr>
          <w:rFonts w:hint="eastAsia" w:ascii="Times New Roman" w:hAnsi="Times New Roman" w:cs="宋体"/>
          <w:b/>
          <w:color w:val="000000" w:themeColor="text1"/>
          <w:sz w:val="24"/>
          <w:szCs w:val="24"/>
          <w14:textFill>
            <w14:solidFill>
              <w14:schemeClr w14:val="tx1"/>
            </w14:solidFill>
          </w14:textFill>
        </w:rPr>
        <w:t>响应文件均为一式叁份，其中“正本”壹份和“副本”贰份。</w:t>
      </w:r>
    </w:p>
    <w:p w14:paraId="0A345634">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3.在每份响应文件上要明确标注项目名称、对应的响应文件名称、供应商的全称、日期、“正本”、“副本”字样。“正本”和“副本”若有差异，概以“正本”为准。</w:t>
      </w:r>
    </w:p>
    <w:p w14:paraId="14DBBCE5">
      <w:pPr>
        <w:spacing w:line="360" w:lineRule="auto"/>
        <w:ind w:firstLine="47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4.响应文件中的所有“正本”，其正文内容须按磋商文件要求由供应商法定代表人或被授权人签字（或盖章）并加盖单位公章。“副本”可复印，但须加盖单位公章。</w:t>
      </w:r>
    </w:p>
    <w:p w14:paraId="4CEA52EA">
      <w:pPr>
        <w:spacing w:line="360" w:lineRule="auto"/>
        <w:ind w:firstLine="47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六、响应文件的密封及标记</w:t>
      </w:r>
    </w:p>
    <w:p w14:paraId="547BBDEA">
      <w:pPr>
        <w:spacing w:line="360" w:lineRule="auto"/>
        <w:ind w:firstLine="480"/>
        <w:rPr>
          <w:rFonts w:ascii="Times New Roman" w:hAnsi="Times New Roman" w:cs="宋体"/>
          <w:color w:val="000000" w:themeColor="text1"/>
          <w:sz w:val="24"/>
          <w:szCs w:val="24"/>
          <w:u w:val="single"/>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1.供应商须将本项目响应文件：</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w:t>
      </w:r>
      <w:r>
        <w:rPr>
          <w:rFonts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3 \* GB3</w:instrText>
      </w:r>
      <w:r>
        <w:rPr>
          <w:rFonts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③</w:t>
      </w:r>
      <w:r>
        <w:rPr>
          <w:rFonts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b/>
          <w:color w:val="000000" w:themeColor="text1"/>
          <w:sz w:val="24"/>
          <w:szCs w:val="24"/>
          <w14:textFill>
            <w14:solidFill>
              <w14:schemeClr w14:val="tx1"/>
            </w14:solidFill>
          </w14:textFill>
        </w:rPr>
        <w:t>单独密封</w:t>
      </w:r>
      <w:r>
        <w:rPr>
          <w:rFonts w:hint="eastAsia" w:ascii="Times New Roman" w:hAnsi="Times New Roman" w:cs="宋体"/>
          <w:color w:val="000000" w:themeColor="text1"/>
          <w:sz w:val="24"/>
          <w:szCs w:val="24"/>
          <w14:textFill>
            <w14:solidFill>
              <w14:schemeClr w14:val="tx1"/>
            </w14:solidFill>
          </w14:textFill>
        </w:rPr>
        <w:t>。响应文件正副本可统一密封或分别密封，如正本和副本分别密封的，应在封袋上标明正、副本字样。</w:t>
      </w:r>
    </w:p>
    <w:p w14:paraId="2A318AD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2.密封后，应在每一密封的响应文件上明确标注磋商项目名称、响应文件各自对应的名称、供应商的全称及日期并加盖供应商公章。</w:t>
      </w:r>
    </w:p>
    <w:p w14:paraId="49A8CD06">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【特别提醒】</w:t>
      </w:r>
      <w:r>
        <w:rPr>
          <w:rFonts w:hint="eastAsia" w:ascii="Times New Roman" w:hAnsi="Times New Roman" w:cs="宋体"/>
          <w:color w:val="000000" w:themeColor="text1"/>
          <w:sz w:val="24"/>
          <w:szCs w:val="24"/>
          <w14:textFill>
            <w14:solidFill>
              <w14:schemeClr w14:val="tx1"/>
            </w14:solidFill>
          </w14:textFill>
        </w:rPr>
        <w:t>响应文件中的</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1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①</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和</w:t>
      </w:r>
      <w:r>
        <w:rPr>
          <w:rFonts w:hint="eastAsia" w:ascii="Times New Roman" w:hAnsi="Times New Roman" w:cs="宋体"/>
          <w:color w:val="000000" w:themeColor="text1"/>
          <w:sz w:val="20"/>
          <w:szCs w:val="24"/>
          <w14:textFill>
            <w14:solidFill>
              <w14:schemeClr w14:val="tx1"/>
            </w14:solidFill>
          </w14:textFill>
        </w:rPr>
        <w:fldChar w:fldCharType="begin"/>
      </w:r>
      <w:r>
        <w:rPr>
          <w:rFonts w:hint="eastAsia" w:ascii="Times New Roman" w:hAnsi="Times New Roman" w:cs="宋体"/>
          <w:color w:val="000000" w:themeColor="text1"/>
          <w:sz w:val="20"/>
          <w:szCs w:val="24"/>
          <w14:textFill>
            <w14:solidFill>
              <w14:schemeClr w14:val="tx1"/>
            </w14:solidFill>
          </w14:textFill>
        </w:rPr>
        <w:instrText xml:space="preserve"> = 2 \* GB3 </w:instrText>
      </w:r>
      <w:r>
        <w:rPr>
          <w:rFonts w:hint="eastAsia" w:ascii="Times New Roman" w:hAnsi="Times New Roman" w:cs="宋体"/>
          <w:color w:val="000000" w:themeColor="text1"/>
          <w:sz w:val="20"/>
          <w:szCs w:val="24"/>
          <w14:textFill>
            <w14:solidFill>
              <w14:schemeClr w14:val="tx1"/>
            </w14:solidFill>
          </w14:textFill>
        </w:rPr>
        <w:fldChar w:fldCharType="separate"/>
      </w:r>
      <w:r>
        <w:rPr>
          <w:rFonts w:hint="eastAsia" w:ascii="Times New Roman" w:hAnsi="Times New Roman" w:cs="宋体"/>
          <w:color w:val="000000" w:themeColor="text1"/>
          <w:sz w:val="24"/>
          <w:szCs w:val="24"/>
          <w14:textFill>
            <w14:solidFill>
              <w14:schemeClr w14:val="tx1"/>
            </w14:solidFill>
          </w14:textFill>
        </w:rPr>
        <w:t>②</w:t>
      </w:r>
      <w:r>
        <w:rPr>
          <w:rFonts w:hint="eastAsia" w:ascii="Times New Roman" w:hAnsi="Times New Roman" w:cs="宋体"/>
          <w:color w:val="000000" w:themeColor="text1"/>
          <w:sz w:val="20"/>
          <w:szCs w:val="24"/>
          <w14:textFill>
            <w14:solidFill>
              <w14:schemeClr w14:val="tx1"/>
            </w14:solidFill>
          </w14:textFill>
        </w:rPr>
        <w:fldChar w:fldCharType="end"/>
      </w:r>
      <w:r>
        <w:rPr>
          <w:rFonts w:hint="eastAsia" w:ascii="Times New Roman" w:hAnsi="Times New Roman" w:cs="宋体"/>
          <w:color w:val="000000" w:themeColor="text1"/>
          <w:sz w:val="24"/>
          <w:szCs w:val="24"/>
          <w14:textFill>
            <w14:solidFill>
              <w14:schemeClr w14:val="tx1"/>
            </w14:solidFill>
          </w14:textFill>
        </w:rPr>
        <w:t>的“正本”或“副本”中，均不得含有报价响应文件中报价表（报价单）内的任何项目价格，否则作无效响应处理。</w:t>
      </w:r>
    </w:p>
    <w:p w14:paraId="6BCE345F">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七、磋商报价</w:t>
      </w:r>
    </w:p>
    <w:p w14:paraId="60BC0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color w:val="000000" w:themeColor="text1"/>
          <w:sz w:val="24"/>
          <w14:textFill>
            <w14:solidFill>
              <w14:schemeClr w14:val="tx1"/>
            </w14:solidFill>
          </w14:textFill>
        </w:rPr>
        <w:t>报价供应商应对所要采购的全部内容进行报价，一个项目只允许一个报价，只报其中部分内容的或出现选择性报价，将被视为无效报价</w:t>
      </w:r>
      <w:r>
        <w:rPr>
          <w:rFonts w:hint="eastAsia" w:ascii="Times New Roman" w:hAnsi="Times New Roman" w:cs="宋体"/>
          <w:color w:val="000000" w:themeColor="text1"/>
          <w:sz w:val="24"/>
          <w:szCs w:val="24"/>
          <w14:textFill>
            <w14:solidFill>
              <w14:schemeClr w14:val="tx1"/>
            </w14:solidFill>
          </w14:textFill>
        </w:rPr>
        <w:t>。</w:t>
      </w:r>
    </w:p>
    <w:p w14:paraId="29855D95">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2.磋商报价均以人民币为报价的币种。</w:t>
      </w:r>
    </w:p>
    <w:p w14:paraId="7C63D41F">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1CCDB5E8">
      <w:pPr>
        <w:spacing w:line="360" w:lineRule="auto"/>
        <w:ind w:firstLine="494"/>
        <w:rPr>
          <w:rFonts w:ascii="Times New Roman" w:hAnsi="Times New Roman"/>
          <w:color w:val="000000" w:themeColor="text1"/>
          <w:sz w:val="24"/>
          <w:szCs w:val="24"/>
          <w14:textFill>
            <w14:solidFill>
              <w14:schemeClr w14:val="tx1"/>
            </w14:solidFill>
          </w14:textFill>
        </w:rPr>
      </w:pPr>
      <w:r>
        <w:rPr>
          <w:rFonts w:hint="eastAsia" w:ascii="Times New Roman" w:hAnsi="Times New Roman" w:cs="宋体"/>
          <w:b/>
          <w:bCs/>
          <w:sz w:val="24"/>
          <w:szCs w:val="24"/>
        </w:rPr>
        <w:t>4.</w:t>
      </w:r>
      <w:r>
        <w:rPr>
          <w:rFonts w:hint="eastAsia" w:ascii="Times New Roman" w:hAnsi="Times New Roman"/>
          <w:b/>
          <w:bCs/>
          <w:sz w:val="24"/>
          <w:szCs w:val="24"/>
        </w:rPr>
        <w:t>各供应商结合磋商文件及相关资料等包括的全部内容，所报总价为按期且确保顺利完成的本项目涉及的所有费用。各供应商应充分考虑影响本次报价的因素、预计实施过程中各种不利因素，由此可能发生的费用均须自行考虑并包含在报价中。</w:t>
      </w:r>
    </w:p>
    <w:p w14:paraId="1AC83683">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响应处理。</w:t>
      </w:r>
    </w:p>
    <w:p w14:paraId="0DE00008">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6.竞争性磋商的最终报价为成交价。同时，供应商的最终成交价在合同实施期间不因市场变化因素而变动。</w:t>
      </w:r>
    </w:p>
    <w:p w14:paraId="656DEE79">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w:t>
      </w:r>
      <w:r>
        <w:rPr>
          <w:rFonts w:hint="eastAsia" w:ascii="Times New Roman" w:hAnsi="Times New Roman" w:cs="宋体"/>
          <w:color w:val="000000" w:themeColor="text1"/>
          <w:sz w:val="24"/>
          <w14:textFill>
            <w14:solidFill>
              <w14:schemeClr w14:val="tx1"/>
            </w14:solidFill>
          </w14:textFill>
        </w:rPr>
        <w:t>最终报价将作为磋商小组评定成交供应商的依据</w:t>
      </w:r>
      <w:r>
        <w:rPr>
          <w:rFonts w:hint="eastAsia" w:ascii="Times New Roman" w:hAnsi="Times New Roman" w:cs="宋体"/>
          <w:color w:val="000000" w:themeColor="text1"/>
          <w:sz w:val="24"/>
          <w:szCs w:val="24"/>
          <w14:textFill>
            <w14:solidFill>
              <w14:schemeClr w14:val="tx1"/>
            </w14:solidFill>
          </w14:textFill>
        </w:rPr>
        <w:t>。</w:t>
      </w:r>
    </w:p>
    <w:p w14:paraId="4562814E">
      <w:pPr>
        <w:spacing w:line="360" w:lineRule="auto"/>
        <w:ind w:firstLine="496"/>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八、联合体参与磋商</w:t>
      </w:r>
    </w:p>
    <w:p w14:paraId="6F077602">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不接受任何形式的联合体参与本项目的竞争性磋商。</w:t>
      </w:r>
    </w:p>
    <w:p w14:paraId="0C47216B">
      <w:pPr>
        <w:spacing w:line="360" w:lineRule="auto"/>
        <w:ind w:firstLine="482"/>
        <w:rPr>
          <w:rFonts w:ascii="Times New Roman" w:hAnsi="Times New Roman" w:cs="宋体"/>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九、磋商保证金</w:t>
      </w:r>
    </w:p>
    <w:p w14:paraId="1FD9AE8F">
      <w:pPr>
        <w:spacing w:line="360" w:lineRule="auto"/>
        <w:ind w:firstLine="485"/>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7D0A6FA0">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w:t>
      </w:r>
      <w:r>
        <w:rPr>
          <w:rFonts w:hint="eastAsia" w:ascii="Times New Roman" w:hAnsi="Times New Roman"/>
          <w:b/>
          <w:bCs/>
          <w:color w:val="000000" w:themeColor="text1"/>
          <w:sz w:val="24"/>
          <w:szCs w:val="24"/>
          <w14:textFill>
            <w14:solidFill>
              <w14:schemeClr w14:val="tx1"/>
            </w14:solidFill>
          </w14:textFill>
        </w:rPr>
        <w:t>响应</w:t>
      </w:r>
      <w:r>
        <w:rPr>
          <w:rFonts w:ascii="Times New Roman" w:hAnsi="Times New Roman"/>
          <w:b/>
          <w:bCs/>
          <w:color w:val="000000" w:themeColor="text1"/>
          <w:sz w:val="24"/>
          <w:szCs w:val="24"/>
          <w14:textFill>
            <w14:solidFill>
              <w14:schemeClr w14:val="tx1"/>
            </w14:solidFill>
          </w14:textFill>
        </w:rPr>
        <w:t>文件的有效期</w:t>
      </w:r>
    </w:p>
    <w:p w14:paraId="14693880">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从</w:t>
      </w:r>
      <w:r>
        <w:rPr>
          <w:rFonts w:hint="eastAsia" w:ascii="Times New Roman" w:hAnsi="Times New Roman"/>
          <w:color w:val="000000" w:themeColor="text1"/>
          <w:sz w:val="24"/>
          <w:szCs w:val="24"/>
          <w14:textFill>
            <w14:solidFill>
              <w14:schemeClr w14:val="tx1"/>
            </w14:solidFill>
          </w14:textFill>
        </w:rPr>
        <w:t>响应</w:t>
      </w:r>
      <w:r>
        <w:rPr>
          <w:rFonts w:ascii="Times New Roman" w:hAnsi="Times New Roman"/>
          <w:color w:val="000000" w:themeColor="text1"/>
          <w:sz w:val="24"/>
          <w:szCs w:val="24"/>
          <w14:textFill>
            <w14:solidFill>
              <w14:schemeClr w14:val="tx1"/>
            </w14:solidFill>
          </w14:textFill>
        </w:rPr>
        <w:t>文件接收截止之日起</w:t>
      </w:r>
      <w:r>
        <w:rPr>
          <w:rFonts w:hint="eastAsia" w:ascii="Times New Roman" w:hAnsi="Times New Roman"/>
          <w:color w:val="000000" w:themeColor="text1"/>
          <w:sz w:val="24"/>
          <w:szCs w:val="24"/>
          <w14:textFill>
            <w14:solidFill>
              <w14:schemeClr w14:val="tx1"/>
            </w14:solidFill>
          </w14:textFill>
        </w:rPr>
        <w:t>算</w:t>
      </w:r>
      <w:r>
        <w:rPr>
          <w:rFonts w:ascii="Times New Roman" w:hAnsi="Times New Roman"/>
          <w:color w:val="000000" w:themeColor="text1"/>
          <w:sz w:val="24"/>
          <w:szCs w:val="24"/>
          <w14:textFill>
            <w14:solidFill>
              <w14:schemeClr w14:val="tx1"/>
            </w14:solidFill>
          </w14:textFill>
        </w:rPr>
        <w:t>，</w:t>
      </w:r>
      <w:r>
        <w:rPr>
          <w:rFonts w:hint="eastAsia" w:ascii="Times New Roman" w:hAnsi="Times New Roman"/>
          <w:color w:val="000000" w:themeColor="text1"/>
          <w:sz w:val="24"/>
          <w:szCs w:val="24"/>
          <w:u w:val="single"/>
          <w14:textFill>
            <w14:solidFill>
              <w14:schemeClr w14:val="tx1"/>
            </w14:solidFill>
          </w14:textFill>
        </w:rPr>
        <w:t>60</w:t>
      </w:r>
      <w:r>
        <w:rPr>
          <w:rFonts w:ascii="Times New Roman" w:hAnsi="Times New Roman"/>
          <w:color w:val="000000" w:themeColor="text1"/>
          <w:sz w:val="24"/>
          <w:szCs w:val="24"/>
          <w14:textFill>
            <w14:solidFill>
              <w14:schemeClr w14:val="tx1"/>
            </w14:solidFill>
          </w14:textFill>
        </w:rPr>
        <w:t>个日历天内</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应保持有效。</w:t>
      </w:r>
      <w:r>
        <w:rPr>
          <w:rFonts w:hint="eastAsia" w:ascii="Times New Roman" w:hAnsi="Times New Roman"/>
          <w:color w:val="000000" w:themeColor="text1"/>
          <w:sz w:val="24"/>
          <w:szCs w:val="24"/>
          <w14:textFill>
            <w14:solidFill>
              <w14:schemeClr w14:val="tx1"/>
            </w14:solidFill>
          </w14:textFill>
        </w:rPr>
        <w:t>响应文件中承诺的响应文件有效期应当不少于采购文件中载明的响应文件有效期</w:t>
      </w:r>
      <w:r>
        <w:rPr>
          <w:rFonts w:ascii="Times New Roman" w:hAnsi="Times New Roman"/>
          <w:color w:val="000000" w:themeColor="text1"/>
          <w:sz w:val="24"/>
          <w:szCs w:val="24"/>
          <w14:textFill>
            <w14:solidFill>
              <w14:schemeClr w14:val="tx1"/>
            </w14:solidFill>
          </w14:textFill>
        </w:rPr>
        <w:t>。</w:t>
      </w:r>
    </w:p>
    <w:p w14:paraId="23A94538">
      <w:pPr>
        <w:spacing w:line="360" w:lineRule="auto"/>
        <w:ind w:firstLine="480"/>
        <w:contextualSpacing/>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在特殊情况下，采购代理机构可与供应商协商延长</w:t>
      </w:r>
      <w:r>
        <w:rPr>
          <w:rFonts w:hint="eastAsia" w:ascii="Times New Roman" w:hAnsi="Times New Roman"/>
          <w:color w:val="000000" w:themeColor="text1"/>
          <w:sz w:val="24"/>
          <w:szCs w:val="24"/>
          <w14:textFill>
            <w14:solidFill>
              <w14:schemeClr w14:val="tx1"/>
            </w14:solidFill>
          </w14:textFill>
        </w:rPr>
        <w:t>响应文件</w:t>
      </w:r>
      <w:r>
        <w:rPr>
          <w:rFonts w:ascii="Times New Roman" w:hAnsi="Times New Roman"/>
          <w:color w:val="000000" w:themeColor="text1"/>
          <w:sz w:val="24"/>
          <w:szCs w:val="24"/>
          <w14:textFill>
            <w14:solidFill>
              <w14:schemeClr w14:val="tx1"/>
            </w14:solidFill>
          </w14:textFill>
        </w:rPr>
        <w:t>的有效期。这种要求和答复都应以书面、传真、或电报的形式进行。</w:t>
      </w:r>
      <w:r>
        <w:rPr>
          <w:rFonts w:hint="eastAsia" w:ascii="Times New Roman" w:hAnsi="Times New Roman"/>
          <w:color w:val="000000" w:themeColor="text1"/>
          <w:sz w:val="24"/>
          <w:szCs w:val="24"/>
          <w14:textFill>
            <w14:solidFill>
              <w14:schemeClr w14:val="tx1"/>
            </w14:solidFill>
          </w14:textFill>
        </w:rPr>
        <w:t>同意延长响应文件有效期的供应商既不能要求也不允许修改其响应文件，同时受响应文件有效期约束的所有权利与义务均延长至新的有效期。供应商可以拒绝采购代理机构的这一要求而放弃响应。</w:t>
      </w:r>
    </w:p>
    <w:p w14:paraId="2FD12A18">
      <w:pPr>
        <w:spacing w:line="360" w:lineRule="auto"/>
        <w:ind w:firstLine="482"/>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b/>
          <w:bCs/>
          <w:color w:val="000000" w:themeColor="text1"/>
          <w:sz w:val="24"/>
          <w:szCs w:val="24"/>
          <w14:textFill>
            <w14:solidFill>
              <w14:schemeClr w14:val="tx1"/>
            </w14:solidFill>
          </w14:textFill>
        </w:rPr>
        <w:t>十一、响应文件及</w:t>
      </w:r>
      <w:r>
        <w:rPr>
          <w:rFonts w:hint="eastAsia" w:ascii="Times New Roman" w:hAnsi="Times New Roman" w:cs="宋体"/>
          <w:b/>
          <w:color w:val="000000" w:themeColor="text1"/>
          <w:sz w:val="24"/>
          <w:szCs w:val="24"/>
          <w14:textFill>
            <w14:solidFill>
              <w14:schemeClr w14:val="tx1"/>
            </w14:solidFill>
          </w14:textFill>
        </w:rPr>
        <w:t>磋商</w:t>
      </w:r>
      <w:r>
        <w:rPr>
          <w:rFonts w:hint="eastAsia" w:ascii="Times New Roman" w:hAnsi="Times New Roman" w:cs="宋体"/>
          <w:b/>
          <w:bCs/>
          <w:color w:val="000000" w:themeColor="text1"/>
          <w:sz w:val="24"/>
          <w:szCs w:val="24"/>
          <w14:textFill>
            <w14:solidFill>
              <w14:schemeClr w14:val="tx1"/>
            </w14:solidFill>
          </w14:textFill>
        </w:rPr>
        <w:t>费用</w:t>
      </w:r>
    </w:p>
    <w:p w14:paraId="0648AFC4">
      <w:pPr>
        <w:spacing w:line="360" w:lineRule="auto"/>
        <w:ind w:firstLine="480" w:firstLineChars="20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1.本项目招标代理费</w:t>
      </w:r>
      <w:r>
        <w:rPr>
          <w:rFonts w:hint="eastAsia" w:ascii="Times New Roman" w:hAnsi="Times New Roman" w:cs="宋体"/>
          <w:color w:val="000000" w:themeColor="text1"/>
          <w:sz w:val="24"/>
          <w:szCs w:val="24"/>
          <w:lang w:val="en-US" w:eastAsia="zh-CN"/>
          <w14:textFill>
            <w14:solidFill>
              <w14:schemeClr w14:val="tx1"/>
            </w14:solidFill>
          </w14:textFill>
        </w:rPr>
        <w:t>3000</w:t>
      </w:r>
      <w:r>
        <w:rPr>
          <w:rFonts w:hint="eastAsia" w:ascii="Times New Roman" w:hAnsi="Times New Roman" w:cs="宋体"/>
          <w:color w:val="000000" w:themeColor="text1"/>
          <w:sz w:val="24"/>
          <w:szCs w:val="24"/>
          <w14:textFill>
            <w14:solidFill>
              <w14:schemeClr w14:val="tx1"/>
            </w14:solidFill>
          </w14:textFill>
        </w:rPr>
        <w:t>元，由成交供应商支付。此费用综合考虑在响应报价内，无需单列，由供应商在领取成交通知书前向采购代理机构一次性付清。</w:t>
      </w:r>
    </w:p>
    <w:p w14:paraId="2D8BABE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2.磋商程序顺利进行后所有的响应文件都将作为档案保存，不论成交与否，代理机构均不退回。</w:t>
      </w:r>
    </w:p>
    <w:p w14:paraId="624E6B26">
      <w:pPr>
        <w:spacing w:line="360" w:lineRule="auto"/>
        <w:ind w:firstLine="461"/>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3.无论磋商过程和结果如何，参加项目磋商的供应商自行承担与本次项目磋商有关的全部费用。</w:t>
      </w:r>
    </w:p>
    <w:p w14:paraId="75716D6A">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十二、履约保证金</w:t>
      </w:r>
    </w:p>
    <w:p w14:paraId="1B7F68D5">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免收</w:t>
      </w:r>
    </w:p>
    <w:p w14:paraId="01E56775">
      <w:pPr>
        <w:spacing w:line="360" w:lineRule="auto"/>
        <w:ind w:firstLine="482"/>
        <w:contextualSpacing/>
        <w:rPr>
          <w:rFonts w:ascii="Times New Roman" w:hAnsi="Times New Roman"/>
          <w:b/>
          <w:bCs/>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十三、</w:t>
      </w:r>
      <w:r>
        <w:rPr>
          <w:rFonts w:ascii="Times New Roman" w:hAnsi="Times New Roman"/>
          <w:b/>
          <w:bCs/>
          <w:color w:val="000000" w:themeColor="text1"/>
          <w:sz w:val="24"/>
          <w:szCs w:val="24"/>
          <w14:textFill>
            <w14:solidFill>
              <w14:schemeClr w14:val="tx1"/>
            </w14:solidFill>
          </w14:textFill>
        </w:rPr>
        <w:t>货物和服务的追加、减少和添购。</w:t>
      </w:r>
    </w:p>
    <w:p w14:paraId="58BEB032">
      <w:pPr>
        <w:spacing w:line="360" w:lineRule="auto"/>
        <w:ind w:firstLine="480"/>
        <w:contextualSpacing/>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采购合同履行中，采购人需追加与</w:t>
      </w:r>
      <w:r>
        <w:rPr>
          <w:rFonts w:hint="eastAsia" w:ascii="Times New Roman" w:hAnsi="Times New Roman"/>
          <w:bCs/>
          <w:color w:val="000000" w:themeColor="text1"/>
          <w:sz w:val="24"/>
          <w:szCs w:val="24"/>
          <w14:textFill>
            <w14:solidFill>
              <w14:schemeClr w14:val="tx1"/>
            </w14:solidFill>
          </w14:textFill>
        </w:rPr>
        <w:t>采购合同</w:t>
      </w:r>
      <w:r>
        <w:rPr>
          <w:rFonts w:ascii="Times New Roman" w:hAnsi="Times New Roman"/>
          <w:bCs/>
          <w:color w:val="000000" w:themeColor="text1"/>
          <w:sz w:val="24"/>
          <w:szCs w:val="24"/>
          <w14:textFill>
            <w14:solidFill>
              <w14:schemeClr w14:val="tx1"/>
            </w14:solidFill>
          </w14:textFill>
        </w:rPr>
        <w:t>相同的货物和服务的，在不改变合同其他条款的前提下，可以与成交供应商协商签订补充合同，但所有补充合同的采购金额不超过原合同金额10%。</w:t>
      </w:r>
    </w:p>
    <w:p w14:paraId="267A4CF4">
      <w:pPr>
        <w:spacing w:line="360" w:lineRule="auto"/>
        <w:ind w:firstLine="496"/>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十四、未尽事宜</w:t>
      </w:r>
    </w:p>
    <w:p w14:paraId="3CE6EE81">
      <w:pPr>
        <w:spacing w:line="360" w:lineRule="auto"/>
        <w:ind w:firstLine="494"/>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无</w:t>
      </w:r>
    </w:p>
    <w:p w14:paraId="025897BE">
      <w:pPr>
        <w:pStyle w:val="2"/>
        <w:keepNext w:val="0"/>
        <w:keepLines w:val="0"/>
        <w:spacing w:before="0" w:after="0" w:line="360" w:lineRule="auto"/>
        <w:jc w:val="center"/>
        <w:rPr>
          <w:rFonts w:ascii="Times New Roman" w:hAnsi="Times New Roman" w:eastAsia="宋体" w:cs="宋体"/>
          <w:color w:val="000000" w:themeColor="text1"/>
          <w:sz w:val="48"/>
          <w:szCs w:val="44"/>
          <w14:textFill>
            <w14:solidFill>
              <w14:schemeClr w14:val="tx1"/>
            </w14:solidFill>
          </w14:textFill>
        </w:rPr>
      </w:pPr>
      <w:r>
        <w:rPr>
          <w:rFonts w:ascii="Times New Roman" w:hAnsi="Times New Roman" w:eastAsia="宋体" w:cs="宋体"/>
          <w:color w:val="000000" w:themeColor="text1"/>
          <w:sz w:val="48"/>
          <w:szCs w:val="44"/>
          <w14:textFill>
            <w14:solidFill>
              <w14:schemeClr w14:val="tx1"/>
            </w14:solidFill>
          </w14:textFill>
        </w:rPr>
        <w:br w:type="page" w:clear="all"/>
      </w:r>
      <w:r>
        <w:rPr>
          <w:rFonts w:hint="eastAsia" w:ascii="Times New Roman" w:hAnsi="Times New Roman" w:eastAsia="宋体" w:cs="宋体"/>
          <w:color w:val="000000" w:themeColor="text1"/>
          <w:sz w:val="48"/>
          <w:szCs w:val="44"/>
          <w14:textFill>
            <w14:solidFill>
              <w14:schemeClr w14:val="tx1"/>
            </w14:solidFill>
          </w14:textFill>
        </w:rPr>
        <w:t>第三章 项目需求</w:t>
      </w:r>
    </w:p>
    <w:p w14:paraId="6703748D">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ab/>
      </w:r>
      <w:r>
        <w:rPr>
          <w:rFonts w:hint="eastAsia" w:ascii="宋体" w:hAnsi="宋体" w:cs="宋体"/>
          <w:color w:val="000000"/>
          <w:kern w:val="2"/>
          <w:sz w:val="24"/>
          <w:szCs w:val="24"/>
        </w:rPr>
        <w:tab/>
      </w:r>
    </w:p>
    <w:p w14:paraId="551723B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项目属性：服务类项目</w:t>
      </w:r>
    </w:p>
    <w:p w14:paraId="11CE4A56">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采购需求包括拟采购的标的及其需要满足的技术、商务要求。</w:t>
      </w:r>
    </w:p>
    <w:p w14:paraId="1DDFBB1B">
      <w:pPr>
        <w:snapToGrid w:val="0"/>
        <w:spacing w:line="360" w:lineRule="auto"/>
        <w:ind w:firstLine="482" w:firstLineChars="200"/>
        <w:rPr>
          <w:rFonts w:hint="eastAsia" w:ascii="宋体" w:hAnsi="宋体" w:cs="宋体"/>
          <w:b/>
          <w:bCs/>
          <w:color w:val="FF0000"/>
          <w:kern w:val="2"/>
          <w:sz w:val="24"/>
          <w:szCs w:val="24"/>
        </w:rPr>
      </w:pPr>
      <w:r>
        <w:rPr>
          <w:rFonts w:hint="eastAsia" w:ascii="宋体" w:hAnsi="宋体" w:cs="宋体"/>
          <w:b/>
          <w:bCs/>
          <w:color w:val="FF0000"/>
          <w:kern w:val="2"/>
          <w:sz w:val="24"/>
          <w:szCs w:val="24"/>
        </w:rPr>
        <w:t>本章采购需求中所有条款均为实质性响应条款，供应商不得负偏离响应，如负偏离响应认定为无效响应文件。</w:t>
      </w:r>
    </w:p>
    <w:p w14:paraId="33CDA1F3">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（一）技术要求是指对采购标的功能和质量要求，包括服务内容和标准等。</w:t>
      </w:r>
    </w:p>
    <w:p w14:paraId="61863775">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（二）商务要求是指取得采购标的的时间、地点、财务和服务要求，包括交付（实施）的时间（期限）和地点（范围），付款条件（进度和方法）等。</w:t>
      </w:r>
    </w:p>
    <w:p w14:paraId="0A78C7EE">
      <w:pPr>
        <w:snapToGrid w:val="0"/>
        <w:spacing w:line="360" w:lineRule="auto"/>
        <w:ind w:firstLine="480" w:firstLineChars="200"/>
        <w:rPr>
          <w:rFonts w:hint="eastAsia" w:ascii="宋体" w:hAnsi="宋体" w:cs="宋体"/>
          <w:color w:val="000000"/>
          <w:kern w:val="2"/>
          <w:sz w:val="24"/>
          <w:szCs w:val="24"/>
        </w:rPr>
      </w:pPr>
      <w:r>
        <w:rPr>
          <w:rFonts w:hint="eastAsia" w:ascii="宋体" w:hAnsi="宋体" w:cs="宋体"/>
          <w:color w:val="000000"/>
          <w:kern w:val="2"/>
          <w:sz w:val="24"/>
          <w:szCs w:val="24"/>
        </w:rPr>
        <w:t>其内容包含但不限于以下内容：</w:t>
      </w:r>
    </w:p>
    <w:p w14:paraId="67C3916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一</w:t>
      </w:r>
      <w:r>
        <w:rPr>
          <w:rFonts w:hint="eastAsia" w:ascii="宋体" w:hAnsi="宋体" w:eastAsia="宋体" w:cs="宋体"/>
          <w:b/>
          <w:sz w:val="24"/>
          <w:szCs w:val="24"/>
          <w:highlight w:val="none"/>
        </w:rPr>
        <w:t>、项目背景</w:t>
      </w:r>
    </w:p>
    <w:p w14:paraId="72E7FB8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服务我市经济社会高质量发展，提升核与辐射建设项目环评文件技术评估工作效率，规范评估流程，保障评估质量，根据国务院关于修改《建设项目环境保护管理条例》的决定（国务院令第682号）、《生态环境部建设项目环境影响报告书（表）审批程序规定》（生态环境部令第14号）等有关规定，采购人将核与辐射建设项目环评文件的技术评估工作委托给成交供应商进行评估。</w:t>
      </w:r>
    </w:p>
    <w:p w14:paraId="78D5ABEA">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二、</w:t>
      </w:r>
      <w:r>
        <w:rPr>
          <w:rFonts w:hint="eastAsia" w:ascii="宋体" w:hAnsi="宋体" w:eastAsia="宋体" w:cs="宋体"/>
          <w:b/>
          <w:bCs/>
          <w:sz w:val="24"/>
          <w:szCs w:val="24"/>
          <w:highlight w:val="none"/>
          <w:lang w:val="en-US" w:eastAsia="zh-CN"/>
        </w:rPr>
        <w:t>技术评估范围</w:t>
      </w:r>
    </w:p>
    <w:p w14:paraId="7FA6A1F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采购人委托的核与辐射建设项目环评技术评估，包括但不限于以下内容：负责</w:t>
      </w:r>
      <w:r>
        <w:rPr>
          <w:rFonts w:hint="eastAsia" w:ascii="宋体" w:hAnsi="宋体" w:eastAsia="宋体" w:cs="宋体"/>
          <w:color w:val="auto"/>
          <w:sz w:val="24"/>
          <w:szCs w:val="24"/>
          <w:highlight w:val="none"/>
          <w:lang w:val="en-US" w:eastAsia="zh-CN"/>
        </w:rPr>
        <w:t>220千伏及以下输变电工程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广播电台、差转台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电视塔台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卫星地球上行站</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雷达</w:t>
      </w:r>
      <w:r>
        <w:rPr>
          <w:rFonts w:hint="eastAsia" w:ascii="宋体" w:hAnsi="宋体" w:cs="宋体"/>
          <w:color w:val="auto"/>
          <w:sz w:val="24"/>
          <w:szCs w:val="24"/>
          <w:highlight w:val="none"/>
          <w:lang w:val="en-US" w:eastAsia="zh-CN"/>
        </w:rPr>
        <w:t>，核技术利用建设项目，核技术利用项目退役，</w:t>
      </w:r>
      <w:r>
        <w:rPr>
          <w:rFonts w:hint="eastAsia" w:ascii="宋体" w:hAnsi="宋体" w:eastAsia="宋体" w:cs="宋体"/>
          <w:color w:val="auto"/>
          <w:sz w:val="24"/>
          <w:szCs w:val="24"/>
          <w:highlight w:val="none"/>
          <w:lang w:val="en-US" w:eastAsia="zh-CN"/>
        </w:rPr>
        <w:t>伴生放射性矿</w:t>
      </w:r>
      <w:r>
        <w:rPr>
          <w:rFonts w:hint="eastAsia" w:ascii="宋体" w:hAnsi="宋体" w:cs="宋体"/>
          <w:color w:val="auto"/>
          <w:sz w:val="24"/>
          <w:szCs w:val="24"/>
          <w:highlight w:val="none"/>
          <w:lang w:val="en-US" w:eastAsia="zh-CN"/>
        </w:rPr>
        <w:t>等核与辐射</w:t>
      </w:r>
      <w:r>
        <w:rPr>
          <w:rFonts w:hint="eastAsia" w:ascii="宋体" w:hAnsi="宋体" w:eastAsia="宋体" w:cs="宋体"/>
          <w:color w:val="auto"/>
          <w:sz w:val="24"/>
          <w:szCs w:val="24"/>
          <w:highlight w:val="none"/>
          <w:lang w:val="en-US" w:eastAsia="zh-CN"/>
        </w:rPr>
        <w:t>环评报告书（表）</w:t>
      </w:r>
      <w:r>
        <w:rPr>
          <w:rFonts w:hint="eastAsia" w:ascii="宋体" w:hAnsi="宋体" w:cs="宋体"/>
          <w:color w:val="auto"/>
          <w:sz w:val="24"/>
          <w:szCs w:val="24"/>
          <w:highlight w:val="none"/>
          <w:lang w:val="en-US" w:eastAsia="zh-CN"/>
        </w:rPr>
        <w:t>。</w:t>
      </w:r>
    </w:p>
    <w:p w14:paraId="0BBF09B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color w:val="000000"/>
          <w:sz w:val="24"/>
          <w:szCs w:val="24"/>
          <w:highlight w:val="none"/>
          <w:lang w:val="en-US" w:eastAsia="zh-CN"/>
        </w:rPr>
        <w:t>采购内容</w:t>
      </w:r>
    </w:p>
    <w:p w14:paraId="2E0946F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成交供应商</w:t>
      </w:r>
      <w:r>
        <w:rPr>
          <w:rFonts w:hint="eastAsia" w:ascii="宋体" w:hAnsi="宋体" w:eastAsia="宋体" w:cs="宋体"/>
          <w:color w:val="000000"/>
          <w:sz w:val="24"/>
          <w:szCs w:val="24"/>
          <w:highlight w:val="none"/>
        </w:rPr>
        <w:t>根据环境保护法律、法规、规章、标准、技术规范等要求，对</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负责审查的</w:t>
      </w:r>
      <w:r>
        <w:rPr>
          <w:rFonts w:hint="eastAsia" w:ascii="宋体" w:hAnsi="宋体" w:eastAsia="宋体" w:cs="宋体"/>
          <w:color w:val="000000"/>
          <w:sz w:val="24"/>
          <w:szCs w:val="24"/>
          <w:highlight w:val="none"/>
          <w:lang w:val="en-US" w:eastAsia="zh-CN"/>
        </w:rPr>
        <w:t>核与</w:t>
      </w:r>
      <w:r>
        <w:rPr>
          <w:rFonts w:hint="eastAsia" w:ascii="宋体" w:hAnsi="宋体" w:eastAsia="宋体" w:cs="宋体"/>
          <w:color w:val="000000"/>
          <w:sz w:val="24"/>
          <w:szCs w:val="24"/>
          <w:highlight w:val="none"/>
        </w:rPr>
        <w:t>辐射建设项目环境影响评价文</w:t>
      </w:r>
      <w:r>
        <w:rPr>
          <w:rFonts w:hint="eastAsia" w:ascii="宋体" w:hAnsi="宋体" w:eastAsia="宋体" w:cs="宋体"/>
          <w:color w:val="auto"/>
          <w:sz w:val="24"/>
          <w:szCs w:val="24"/>
          <w:highlight w:val="none"/>
        </w:rPr>
        <w:t>件进行科学、客观、公正的技术评估，出具评估意见，为环评审批提供技术支持</w:t>
      </w:r>
      <w:r>
        <w:rPr>
          <w:rFonts w:hint="eastAsia" w:ascii="宋体" w:hAnsi="宋体" w:eastAsia="宋体" w:cs="宋体"/>
          <w:color w:val="000000"/>
          <w:sz w:val="24"/>
          <w:szCs w:val="24"/>
          <w:highlight w:val="none"/>
        </w:rPr>
        <w:t>。</w:t>
      </w:r>
    </w:p>
    <w:p w14:paraId="7539DD3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val="0"/>
          <w:bCs w:val="0"/>
          <w:color w:val="FF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对建设项目及环境保护对策措施提出优化调整建议</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对环评报告的编制质量进行评估</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并提出修改意见。</w:t>
      </w:r>
    </w:p>
    <w:p w14:paraId="7BA1DC6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3.接受评估委</w:t>
      </w:r>
      <w:r>
        <w:rPr>
          <w:rFonts w:hint="eastAsia" w:ascii="宋体" w:hAnsi="宋体" w:eastAsia="宋体" w:cs="宋体"/>
          <w:color w:val="auto"/>
          <w:sz w:val="24"/>
          <w:szCs w:val="24"/>
          <w:highlight w:val="none"/>
          <w:lang w:val="en-US" w:eastAsia="zh-CN"/>
        </w:rPr>
        <w:t>托后</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000000"/>
          <w:sz w:val="24"/>
          <w:szCs w:val="24"/>
          <w:highlight w:val="none"/>
          <w:lang w:val="en-US" w:eastAsia="zh-CN"/>
        </w:rPr>
        <w:t>工作日内完成</w:t>
      </w:r>
      <w:r>
        <w:rPr>
          <w:rFonts w:hint="eastAsia" w:ascii="宋体" w:hAnsi="宋体" w:cs="宋体"/>
          <w:color w:val="000000"/>
          <w:sz w:val="24"/>
          <w:szCs w:val="24"/>
          <w:highlight w:val="none"/>
          <w:lang w:val="en-US" w:eastAsia="zh-CN"/>
        </w:rPr>
        <w:t>技术</w:t>
      </w:r>
      <w:r>
        <w:rPr>
          <w:rFonts w:hint="eastAsia" w:ascii="宋体" w:hAnsi="宋体" w:eastAsia="宋体" w:cs="宋体"/>
          <w:color w:val="000000"/>
          <w:sz w:val="24"/>
          <w:szCs w:val="24"/>
          <w:highlight w:val="none"/>
          <w:lang w:val="en-US" w:eastAsia="zh-CN"/>
        </w:rPr>
        <w:t>评审工作，函审项目聘请不少于2名专家，会议评审项目聘请不少于3名专家。收到修改稿且专家复核无误签字</w:t>
      </w:r>
      <w:r>
        <w:rPr>
          <w:rFonts w:hint="eastAsia" w:ascii="宋体" w:hAnsi="宋体" w:eastAsia="宋体" w:cs="宋体"/>
          <w:color w:val="auto"/>
          <w:sz w:val="24"/>
          <w:szCs w:val="24"/>
          <w:highlight w:val="none"/>
          <w:lang w:val="en-US" w:eastAsia="zh-CN"/>
        </w:rPr>
        <w:t>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个工作日</w:t>
      </w:r>
      <w:r>
        <w:rPr>
          <w:rFonts w:hint="eastAsia" w:ascii="宋体" w:hAnsi="宋体" w:eastAsia="宋体" w:cs="宋体"/>
          <w:color w:val="000000"/>
          <w:sz w:val="24"/>
          <w:szCs w:val="24"/>
          <w:highlight w:val="none"/>
          <w:lang w:val="en-US" w:eastAsia="zh-CN"/>
        </w:rPr>
        <w:t>内出具技术评估意见，并对其出具的评估意见负责。</w:t>
      </w:r>
    </w:p>
    <w:p w14:paraId="404670ED">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按照</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lang w:val="en-US" w:eastAsia="zh-CN"/>
        </w:rPr>
        <w:t>要求，每年向</w:t>
      </w:r>
      <w:r>
        <w:rPr>
          <w:rFonts w:hint="eastAsia" w:ascii="宋体" w:hAnsi="宋体" w:cs="宋体"/>
          <w:color w:val="000000"/>
          <w:sz w:val="24"/>
          <w:szCs w:val="24"/>
          <w:highlight w:val="none"/>
          <w:lang w:val="en-US" w:eastAsia="zh-CN"/>
        </w:rPr>
        <w:t>采购人</w:t>
      </w:r>
      <w:r>
        <w:rPr>
          <w:rFonts w:hint="eastAsia" w:ascii="宋体" w:hAnsi="宋体" w:eastAsia="宋体" w:cs="宋体"/>
          <w:color w:val="000000"/>
          <w:sz w:val="24"/>
          <w:szCs w:val="24"/>
          <w:highlight w:val="none"/>
          <w:lang w:val="en-US" w:eastAsia="zh-CN"/>
        </w:rPr>
        <w:t>报送年度</w:t>
      </w:r>
      <w:r>
        <w:rPr>
          <w:rFonts w:hint="eastAsia" w:ascii="宋体" w:hAnsi="宋体" w:cs="宋体"/>
          <w:color w:val="000000"/>
          <w:sz w:val="24"/>
          <w:szCs w:val="24"/>
          <w:highlight w:val="none"/>
          <w:lang w:val="en-US" w:eastAsia="zh-CN"/>
        </w:rPr>
        <w:t>报告、</w:t>
      </w:r>
      <w:r>
        <w:rPr>
          <w:rFonts w:hint="eastAsia" w:ascii="宋体" w:hAnsi="宋体" w:eastAsia="宋体" w:cs="宋体"/>
          <w:color w:val="000000"/>
          <w:sz w:val="24"/>
          <w:szCs w:val="24"/>
          <w:highlight w:val="none"/>
          <w:lang w:val="en-US" w:eastAsia="zh-CN"/>
        </w:rPr>
        <w:t>技术评估统计表等</w:t>
      </w:r>
      <w:r>
        <w:rPr>
          <w:rFonts w:hint="eastAsia" w:ascii="宋体" w:hAnsi="宋体" w:cs="宋体"/>
          <w:color w:val="000000"/>
          <w:sz w:val="24"/>
          <w:szCs w:val="24"/>
          <w:highlight w:val="none"/>
          <w:lang w:val="en-US" w:eastAsia="zh-CN"/>
        </w:rPr>
        <w:t>材料</w:t>
      </w:r>
      <w:r>
        <w:rPr>
          <w:rFonts w:hint="eastAsia" w:ascii="宋体" w:hAnsi="宋体" w:eastAsia="宋体" w:cs="宋体"/>
          <w:color w:val="000000"/>
          <w:sz w:val="24"/>
          <w:szCs w:val="24"/>
          <w:highlight w:val="none"/>
          <w:lang w:val="en-US" w:eastAsia="zh-CN"/>
        </w:rPr>
        <w:t>。</w:t>
      </w:r>
    </w:p>
    <w:p w14:paraId="1644B8EE">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四、技术评估工作质量要求</w:t>
      </w:r>
    </w:p>
    <w:p w14:paraId="153C69D6">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环境影响评价文件从下列方面进行评估：</w:t>
      </w:r>
    </w:p>
    <w:p w14:paraId="15AB8E60">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评价依据：评估评价等级、范围、因子、标准选择是否正确，重点是否突出。</w:t>
      </w:r>
    </w:p>
    <w:p w14:paraId="4FA2A7D8">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highlight w:val="none"/>
        </w:rPr>
        <w:t>环境质量现状：评估监测布点、监测因子选择的合理性、代表性及监测数据的有效性。判断环境影响评价文件所述区域环境质</w:t>
      </w:r>
      <w:r>
        <w:rPr>
          <w:rFonts w:hint="eastAsia" w:ascii="宋体" w:hAnsi="宋体" w:eastAsia="宋体" w:cs="宋体"/>
          <w:color w:val="000000"/>
          <w:sz w:val="24"/>
          <w:szCs w:val="24"/>
        </w:rPr>
        <w:t>量达标情况的准确性、超标原因及区域综合整治措施的合理性。</w:t>
      </w:r>
    </w:p>
    <w:p w14:paraId="2577F144">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工程分析：评估项目工程分析及污染源核算是否合理。</w:t>
      </w:r>
    </w:p>
    <w:p w14:paraId="19BC9451">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环境影响预测：根据建设项目特点和所在地区环境特征，评估环境影响评价文件采用环境影响预测技术方法的科学性。</w:t>
      </w:r>
    </w:p>
    <w:p w14:paraId="43B1A68A">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污染物排放总量：评估建设项目污染物排放总量计算方法的正确性和合理性。</w:t>
      </w:r>
    </w:p>
    <w:p w14:paraId="0440F261">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评价文件的规范性：评估环境影响评价文件是否做到文字简洁、结构合理、图表清晰、印制规范。</w:t>
      </w:r>
    </w:p>
    <w:p w14:paraId="2251F52D">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修改意见：指出环境影响评价文件存在的主要问题，提出修改意见。</w:t>
      </w:r>
    </w:p>
    <w:p w14:paraId="3BD26B30">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lang w:eastAsia="zh-CN"/>
        </w:rPr>
        <w:t>成</w:t>
      </w:r>
      <w:r>
        <w:rPr>
          <w:rFonts w:hint="eastAsia" w:ascii="宋体" w:hAnsi="宋体" w:eastAsia="宋体" w:cs="宋体"/>
          <w:color w:val="000000"/>
          <w:sz w:val="24"/>
          <w:szCs w:val="24"/>
          <w:highlight w:val="none"/>
          <w:lang w:eastAsia="zh-CN"/>
        </w:rPr>
        <w:t>交供应商</w:t>
      </w:r>
      <w:r>
        <w:rPr>
          <w:rFonts w:hint="eastAsia" w:ascii="宋体" w:hAnsi="宋体" w:eastAsia="宋体" w:cs="宋体"/>
          <w:color w:val="000000"/>
          <w:kern w:val="2"/>
          <w:sz w:val="24"/>
          <w:szCs w:val="24"/>
          <w:highlight w:val="none"/>
          <w:lang w:val="en-US" w:eastAsia="zh-CN" w:bidi="ar-SA"/>
        </w:rPr>
        <w:t>应当建立实施覆盖环境影响评估全过程的质量控制制度，评估意见建立可追踪的内部审核制度，至少三级审核。评估报告由供应商主要负责人签发。</w:t>
      </w:r>
    </w:p>
    <w:p w14:paraId="3D3936F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五、服务考核要求</w:t>
      </w:r>
    </w:p>
    <w:p w14:paraId="1F37F9B9">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如服务过程中出现以下情况，将</w:t>
      </w:r>
      <w:r>
        <w:rPr>
          <w:rFonts w:hint="eastAsia" w:ascii="宋体" w:hAnsi="宋体" w:cs="宋体"/>
          <w:color w:val="000000"/>
          <w:kern w:val="2"/>
          <w:sz w:val="24"/>
          <w:szCs w:val="24"/>
          <w:highlight w:val="none"/>
          <w:lang w:val="en-US" w:eastAsia="zh-CN" w:bidi="ar-SA"/>
        </w:rPr>
        <w:t>以合同单价的10%</w:t>
      </w:r>
      <w:r>
        <w:rPr>
          <w:rFonts w:hint="eastAsia" w:ascii="宋体" w:hAnsi="宋体" w:eastAsia="宋体" w:cs="宋体"/>
          <w:color w:val="000000"/>
          <w:kern w:val="2"/>
          <w:sz w:val="24"/>
          <w:szCs w:val="24"/>
          <w:highlight w:val="none"/>
          <w:lang w:val="en-US" w:eastAsia="zh-CN" w:bidi="ar-SA"/>
        </w:rPr>
        <w:t>从应支付费用中扣除。</w:t>
      </w:r>
    </w:p>
    <w:p w14:paraId="41522FFE">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1.自接受项目委托之日起，未在规定时限内完成项目评估工作。</w:t>
      </w:r>
    </w:p>
    <w:p w14:paraId="3CCF2998">
      <w:pPr>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highlight w:val="none"/>
          <w:lang w:val="en-US" w:eastAsia="zh-CN" w:bidi="ar-SA"/>
        </w:rPr>
        <w:t>2.评估方式未按照评审委托书的相关要求。评估专家数量不足或擅自调整评估形式（如将会议评审项目改函审）开</w:t>
      </w:r>
      <w:r>
        <w:rPr>
          <w:rFonts w:hint="eastAsia" w:ascii="宋体" w:hAnsi="宋体" w:eastAsia="宋体" w:cs="宋体"/>
          <w:color w:val="000000"/>
          <w:kern w:val="2"/>
          <w:sz w:val="24"/>
          <w:szCs w:val="24"/>
          <w:lang w:val="en-US" w:eastAsia="zh-CN" w:bidi="ar-SA"/>
        </w:rPr>
        <w:t>展评估工作。</w:t>
      </w:r>
    </w:p>
    <w:p w14:paraId="7B17751B">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3.环评评估报告编制格式需包括项目概况、项目选址环境可行性、污染防治措施的可行性、环境影响结论合理性，报告表整体评价和审批建议。评估报告内容有缺项。</w:t>
      </w:r>
    </w:p>
    <w:p w14:paraId="649188F8">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w:t>
      </w:r>
      <w:r>
        <w:rPr>
          <w:rFonts w:hint="eastAsia" w:ascii="宋体" w:hAnsi="宋体" w:eastAsia="宋体" w:cs="宋体"/>
          <w:color w:val="000000"/>
          <w:sz w:val="24"/>
          <w:szCs w:val="24"/>
          <w:lang w:eastAsia="zh-CN"/>
        </w:rPr>
        <w:t>成交供应商</w:t>
      </w:r>
      <w:r>
        <w:rPr>
          <w:rFonts w:hint="eastAsia" w:ascii="宋体" w:hAnsi="宋体" w:eastAsia="宋体" w:cs="宋体"/>
          <w:color w:val="000000"/>
          <w:kern w:val="2"/>
          <w:sz w:val="24"/>
          <w:szCs w:val="24"/>
          <w:lang w:val="en-US" w:eastAsia="zh-CN" w:bidi="ar-SA"/>
        </w:rPr>
        <w:t>未固</w:t>
      </w:r>
      <w:r>
        <w:rPr>
          <w:rFonts w:hint="eastAsia" w:ascii="宋体" w:hAnsi="宋体" w:eastAsia="宋体" w:cs="宋体"/>
          <w:color w:val="000000"/>
          <w:kern w:val="2"/>
          <w:sz w:val="24"/>
          <w:szCs w:val="24"/>
          <w:highlight w:val="none"/>
          <w:lang w:val="en-US" w:eastAsia="zh-CN" w:bidi="ar-SA"/>
        </w:rPr>
        <w:t>定</w:t>
      </w:r>
      <w:r>
        <w:rPr>
          <w:rFonts w:hint="eastAsia" w:ascii="宋体" w:hAnsi="宋体" w:eastAsia="宋体" w:cs="宋体"/>
          <w:color w:val="auto"/>
          <w:kern w:val="2"/>
          <w:sz w:val="24"/>
          <w:szCs w:val="24"/>
          <w:highlight w:val="none"/>
          <w:lang w:val="en-US" w:eastAsia="zh-CN" w:bidi="ar-SA"/>
        </w:rPr>
        <w:t>一名辐射相关专业技术人员</w:t>
      </w:r>
      <w:r>
        <w:rPr>
          <w:rFonts w:hint="eastAsia" w:ascii="宋体" w:hAnsi="宋体" w:eastAsia="宋体" w:cs="宋体"/>
          <w:color w:val="000000"/>
          <w:kern w:val="2"/>
          <w:sz w:val="24"/>
          <w:szCs w:val="24"/>
          <w:highlight w:val="none"/>
          <w:lang w:val="en-US" w:eastAsia="zh-CN" w:bidi="ar-SA"/>
        </w:rPr>
        <w:t>专职</w:t>
      </w:r>
      <w:r>
        <w:rPr>
          <w:rFonts w:hint="eastAsia" w:ascii="宋体" w:hAnsi="宋体" w:eastAsia="宋体" w:cs="宋体"/>
          <w:color w:val="000000"/>
          <w:kern w:val="2"/>
          <w:sz w:val="24"/>
          <w:szCs w:val="24"/>
          <w:lang w:val="en-US" w:eastAsia="zh-CN" w:bidi="ar-SA"/>
        </w:rPr>
        <w:t>负责该项工作。</w:t>
      </w:r>
    </w:p>
    <w:p w14:paraId="083852BE">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lang w:val="en-US" w:eastAsia="zh-CN" w:bidi="ar-SA"/>
        </w:rPr>
        <w:t>5</w:t>
      </w:r>
      <w:r>
        <w:rPr>
          <w:rFonts w:hint="eastAsia" w:ascii="宋体" w:hAnsi="宋体" w:eastAsia="宋体" w:cs="宋体"/>
          <w:color w:val="000000"/>
          <w:kern w:val="2"/>
          <w:sz w:val="24"/>
          <w:szCs w:val="24"/>
          <w:highlight w:val="none"/>
          <w:lang w:val="en-US" w:eastAsia="zh-CN" w:bidi="ar-SA"/>
        </w:rPr>
        <w:t>.评估报告的内容与相关法律法规相违背。</w:t>
      </w:r>
    </w:p>
    <w:p w14:paraId="04DEBA13">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6.评估报告未建立健全的内部审核制度。</w:t>
      </w:r>
    </w:p>
    <w:p w14:paraId="0FA9E588">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7.已完成评估的报告表在抽查复核中发现严重质量问题。</w:t>
      </w:r>
    </w:p>
    <w:p w14:paraId="70C1C570">
      <w:pPr>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六、商务要求</w:t>
      </w:r>
    </w:p>
    <w:p w14:paraId="7A112BA8">
      <w:pPr>
        <w:pStyle w:val="13"/>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w:t>
      </w:r>
      <w:r>
        <w:rPr>
          <w:rFonts w:hint="eastAsia" w:ascii="宋体" w:hAnsi="宋体" w:cs="宋体"/>
          <w:color w:val="000000"/>
          <w:kern w:val="2"/>
          <w:sz w:val="24"/>
          <w:szCs w:val="24"/>
          <w:highlight w:val="none"/>
          <w:lang w:val="en-US" w:eastAsia="zh-CN" w:bidi="ar-SA"/>
        </w:rPr>
        <w:t>.</w:t>
      </w:r>
      <w:r>
        <w:rPr>
          <w:rFonts w:hint="eastAsia" w:ascii="宋体" w:hAnsi="宋体" w:eastAsia="宋体" w:cs="宋体"/>
          <w:color w:val="000000"/>
          <w:kern w:val="2"/>
          <w:sz w:val="24"/>
          <w:szCs w:val="24"/>
          <w:highlight w:val="none"/>
          <w:lang w:val="en-US" w:eastAsia="zh-CN" w:bidi="ar-SA"/>
        </w:rPr>
        <w:t>服务期限：</w:t>
      </w:r>
      <w:r>
        <w:rPr>
          <w:rFonts w:hint="eastAsia" w:ascii="宋体" w:hAnsi="宋体" w:cs="宋体"/>
          <w:sz w:val="24"/>
          <w:szCs w:val="24"/>
          <w:lang w:val="en-US" w:eastAsia="zh-CN"/>
        </w:rPr>
        <w:t>自合同签订之日起至2026年12月31日。</w:t>
      </w:r>
    </w:p>
    <w:p w14:paraId="3CE24DBA">
      <w:pPr>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2.付款方式</w:t>
      </w:r>
    </w:p>
    <w:p w14:paraId="56A0BA6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auto"/>
          <w:sz w:val="24"/>
          <w:szCs w:val="24"/>
          <w:highlight w:val="none"/>
        </w:rPr>
        <w:t>合同签订后，在财政拨款到达采购人账户后，采购人在收到成交供应商正式发票后支付</w:t>
      </w:r>
      <w:r>
        <w:rPr>
          <w:rFonts w:hint="eastAsia" w:ascii="宋体" w:hAnsi="宋体" w:cs="宋体"/>
          <w:color w:val="auto"/>
          <w:sz w:val="24"/>
          <w:szCs w:val="24"/>
          <w:highlight w:val="none"/>
          <w:lang w:val="en-US" w:eastAsia="zh-CN"/>
        </w:rPr>
        <w:t>7.5万元</w:t>
      </w:r>
      <w:r>
        <w:rPr>
          <w:rFonts w:hint="eastAsia" w:ascii="宋体" w:hAnsi="宋体" w:eastAsia="宋体" w:cs="宋体"/>
          <w:color w:val="auto"/>
          <w:sz w:val="24"/>
          <w:szCs w:val="24"/>
          <w:highlight w:val="none"/>
        </w:rPr>
        <w:t>预付款。</w:t>
      </w:r>
      <w:r>
        <w:rPr>
          <w:rFonts w:hint="eastAsia" w:ascii="宋体" w:hAnsi="宋体" w:cs="宋体"/>
          <w:color w:val="auto"/>
          <w:sz w:val="24"/>
          <w:szCs w:val="24"/>
          <w:highlight w:val="none"/>
          <w:lang w:val="en-US" w:eastAsia="zh-CN"/>
        </w:rPr>
        <w:t>项目服务期满后，</w:t>
      </w:r>
      <w:r>
        <w:rPr>
          <w:rFonts w:hint="eastAsia" w:ascii="宋体" w:hAnsi="宋体" w:eastAsia="宋体" w:cs="宋体"/>
          <w:color w:val="auto"/>
          <w:sz w:val="24"/>
          <w:szCs w:val="24"/>
          <w:highlight w:val="none"/>
          <w:lang w:val="en-US" w:eastAsia="zh-CN"/>
        </w:rPr>
        <w:t>按实际完成（含已委托）的评</w:t>
      </w:r>
      <w:r>
        <w:rPr>
          <w:rFonts w:hint="eastAsia" w:ascii="宋体" w:hAnsi="宋体" w:eastAsia="宋体" w:cs="宋体"/>
          <w:color w:val="000000"/>
          <w:sz w:val="24"/>
          <w:szCs w:val="24"/>
          <w:highlight w:val="none"/>
          <w:lang w:val="en-US" w:eastAsia="zh-CN"/>
        </w:rPr>
        <w:t>估数量乘以单个项目的技术评估费用进行结算，扣除预付款后支付剩余应付款项。</w:t>
      </w:r>
    </w:p>
    <w:p w14:paraId="7B814A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（2）评估报告如出现弄</w:t>
      </w:r>
      <w:r>
        <w:rPr>
          <w:rFonts w:hint="eastAsia" w:ascii="宋体" w:hAnsi="宋体" w:eastAsia="宋体" w:cs="宋体"/>
          <w:color w:val="000000"/>
          <w:sz w:val="24"/>
          <w:szCs w:val="24"/>
          <w:lang w:val="en-US" w:eastAsia="zh-CN"/>
        </w:rPr>
        <w:t>虚作假或存在技术缺陷，将扣除相应的评估费用。</w:t>
      </w:r>
    </w:p>
    <w:p w14:paraId="251319C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3.服务响应承诺</w:t>
      </w:r>
    </w:p>
    <w:p w14:paraId="07AE284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供应商须对以下</w:t>
      </w:r>
      <w:r>
        <w:rPr>
          <w:rFonts w:hint="eastAsia" w:ascii="宋体" w:hAnsi="宋体" w:cs="宋体"/>
          <w:b/>
          <w:bCs/>
          <w:color w:val="FF0000"/>
          <w:sz w:val="24"/>
          <w:szCs w:val="24"/>
          <w:lang w:val="en-US" w:eastAsia="zh-CN"/>
        </w:rPr>
        <w:t>（1）-（4）</w:t>
      </w:r>
      <w:r>
        <w:rPr>
          <w:rFonts w:hint="eastAsia" w:ascii="宋体" w:hAnsi="宋体" w:eastAsia="宋体" w:cs="宋体"/>
          <w:b/>
          <w:bCs/>
          <w:color w:val="FF0000"/>
          <w:sz w:val="24"/>
          <w:szCs w:val="24"/>
          <w:lang w:val="en-US" w:eastAsia="zh-CN"/>
        </w:rPr>
        <w:t>事项作出承诺，未提供的认定为无效响应文件（格式参见采购文件第八章）</w:t>
      </w:r>
      <w:r>
        <w:rPr>
          <w:rFonts w:hint="eastAsia" w:ascii="宋体" w:hAnsi="宋体" w:cs="宋体"/>
          <w:b/>
          <w:bCs/>
          <w:color w:val="FF0000"/>
          <w:sz w:val="24"/>
          <w:szCs w:val="24"/>
          <w:lang w:val="en-US" w:eastAsia="zh-CN"/>
        </w:rPr>
        <w:t>。</w:t>
      </w:r>
    </w:p>
    <w:p w14:paraId="34EC38C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（1）保证评估工作真实有效，不弄虚作假。</w:t>
      </w:r>
    </w:p>
    <w:p w14:paraId="5DCB2C4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（2）保证评估工作符合相关技术规范、标准，发现瑕疵妥善处理。</w:t>
      </w:r>
    </w:p>
    <w:p w14:paraId="3C2C005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（3）保证服务响应快速，提供服务内容满足时限要求。</w:t>
      </w:r>
    </w:p>
    <w:p w14:paraId="25616A9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（4）接受采购组织的质量监督、检查，就服务内容及时提交报告、记录等相关材料。</w:t>
      </w:r>
    </w:p>
    <w:p w14:paraId="69F4D0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4.验收要求：项目结束后按照项目需求标准一次性验收。</w:t>
      </w:r>
    </w:p>
    <w:p w14:paraId="7C85A9DD">
      <w:pPr>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七、其他服务要求</w:t>
      </w:r>
    </w:p>
    <w:p w14:paraId="56C381F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ascii="宋体" w:hAnsi="宋体" w:eastAsia="宋体" w:cs="宋体"/>
          <w:color w:val="000000"/>
          <w:sz w:val="24"/>
          <w:szCs w:val="24"/>
        </w:rPr>
      </w:pPr>
      <w:r>
        <w:rPr>
          <w:rFonts w:hint="eastAsia" w:ascii="宋体" w:hAnsi="宋体" w:eastAsia="宋体" w:cs="宋体"/>
          <w:color w:val="000000"/>
          <w:sz w:val="24"/>
          <w:szCs w:val="24"/>
        </w:rPr>
        <w:t>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440DD142">
      <w:pPr>
        <w:keepNext w:val="0"/>
        <w:keepLines w:val="0"/>
        <w:pageBreakBefore w:val="0"/>
        <w:widowControl w:val="0"/>
        <w:kinsoku/>
        <w:wordWrap/>
        <w:overflowPunct/>
        <w:topLinePunct w:val="0"/>
        <w:autoSpaceDE/>
        <w:autoSpaceDN/>
        <w:bidi w:val="0"/>
        <w:adjustRightInd/>
        <w:snapToGrid/>
        <w:spacing w:line="360" w:lineRule="auto"/>
        <w:ind w:left="0" w:firstLine="960" w:firstLineChars="200"/>
        <w:textAlignment w:val="auto"/>
        <w:rPr>
          <w:rFonts w:ascii="宋体" w:hAnsi="宋体" w:eastAsia="宋体" w:cs="宋体"/>
          <w:b/>
          <w:sz w:val="24"/>
          <w:szCs w:val="24"/>
        </w:rPr>
      </w:pPr>
      <w:r>
        <w:rPr>
          <w:rFonts w:hint="eastAsia" w:ascii="Times New Roman" w:hAnsi="Times New Roman" w:cs="宋体"/>
          <w:color w:val="000000" w:themeColor="text1"/>
          <w:sz w:val="48"/>
          <w:szCs w:val="44"/>
          <w14:textFill>
            <w14:solidFill>
              <w14:schemeClr w14:val="tx1"/>
            </w14:solidFill>
          </w14:textFill>
        </w:rPr>
        <w:br w:type="page"/>
      </w:r>
    </w:p>
    <w:p w14:paraId="1EC72EE3">
      <w:pPr>
        <w:rPr>
          <w:rFonts w:ascii="Times New Roman" w:hAnsi="Times New Roman" w:cs="宋体"/>
          <w:color w:val="000000" w:themeColor="text1"/>
          <w:sz w:val="48"/>
          <w:szCs w:val="44"/>
          <w14:textFill>
            <w14:solidFill>
              <w14:schemeClr w14:val="tx1"/>
            </w14:solidFill>
          </w14:textFill>
        </w:rPr>
      </w:pPr>
    </w:p>
    <w:p w14:paraId="54824B35">
      <w:pPr>
        <w:pStyle w:val="58"/>
        <w:spacing w:after="0" w:line="360" w:lineRule="auto"/>
        <w:ind w:firstLine="0" w:firstLineChars="0"/>
        <w:jc w:val="center"/>
        <w:outlineLvl w:val="0"/>
        <w:rPr>
          <w:rFonts w:cs="宋体"/>
          <w:color w:val="000000" w:themeColor="text1"/>
          <w:sz w:val="48"/>
          <w:szCs w:val="44"/>
          <w14:textFill>
            <w14:solidFill>
              <w14:schemeClr w14:val="tx1"/>
            </w14:solidFill>
          </w14:textFill>
        </w:rPr>
      </w:pPr>
      <w:r>
        <w:rPr>
          <w:rFonts w:hint="eastAsia" w:cs="宋体"/>
          <w:color w:val="000000" w:themeColor="text1"/>
          <w:sz w:val="48"/>
          <w:szCs w:val="44"/>
          <w14:textFill>
            <w14:solidFill>
              <w14:schemeClr w14:val="tx1"/>
            </w14:solidFill>
          </w14:textFill>
        </w:rPr>
        <w:t>第四章</w:t>
      </w:r>
      <w:bookmarkStart w:id="3" w:name="_Toc43217893"/>
      <w:bookmarkStart w:id="4" w:name="_Toc38121794"/>
      <w:bookmarkStart w:id="5" w:name="_Toc37322565"/>
      <w:bookmarkStart w:id="6" w:name="_Toc182848996"/>
      <w:bookmarkStart w:id="7" w:name="_Toc85627670"/>
      <w:r>
        <w:rPr>
          <w:rFonts w:hint="eastAsia" w:cs="宋体"/>
          <w:color w:val="000000" w:themeColor="text1"/>
          <w:sz w:val="48"/>
          <w:szCs w:val="44"/>
          <w14:textFill>
            <w14:solidFill>
              <w14:schemeClr w14:val="tx1"/>
            </w14:solidFill>
          </w14:textFill>
        </w:rPr>
        <w:t xml:space="preserve"> 评审方法和程序</w:t>
      </w:r>
      <w:bookmarkEnd w:id="3"/>
      <w:bookmarkEnd w:id="4"/>
      <w:bookmarkEnd w:id="5"/>
      <w:bookmarkEnd w:id="6"/>
      <w:bookmarkEnd w:id="7"/>
    </w:p>
    <w:p w14:paraId="258C14A9">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bookmarkStart w:id="8" w:name="_Toc363573857"/>
      <w:bookmarkEnd w:id="8"/>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一、代理机构组织磋商</w:t>
      </w:r>
    </w:p>
    <w:p w14:paraId="0A015A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本次竞争性磋商依据《中华人民共和国政府采购法》、《政府采购竞争性磋商采购方式管理暂行办法》及有关法规成立磋商小组。磋商小组由采购人代表和评审专家共3人以上单数组成，其中评审专家人数不得少于磋商小组成员总数的三分之二。</w:t>
      </w:r>
    </w:p>
    <w:p w14:paraId="70EC844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2.磋商小组的职责：</w:t>
      </w:r>
    </w:p>
    <w:p w14:paraId="3C9C5AA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（1）磋商小组成员应当按照客观、公正、审慎的原则，根据磋商文件规定的评审程序、评审方法和评审标准进行独立评审。</w:t>
      </w:r>
    </w:p>
    <w:p w14:paraId="554ED3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（2）磋商小组成员应当遵守评审工作纪律，不得泄露评审情况和评审中获悉的商业秘密，对个人的评审意见承担法律责任；</w:t>
      </w:r>
    </w:p>
    <w:p w14:paraId="4C10A6E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（3）磋商小组成员在评审过程中发现供应商有行贿、提供虚假材料或者串通等违法行为的，应当及时向财政部门报告。</w:t>
      </w:r>
    </w:p>
    <w:p w14:paraId="35DFC44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（4）磋商小组成员在评审过程中受到非法干涉的，应当及时向财政、监察等部门举报。</w:t>
      </w:r>
    </w:p>
    <w:p w14:paraId="6478F7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（5）配合采购单位答复供应商提出的质疑；配合财政部门的投诉处理和监督检查工作。</w:t>
      </w:r>
    </w:p>
    <w:p w14:paraId="0FC4C66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3.评审有关记录由磋商小组成员签名，存档备查。</w:t>
      </w:r>
    </w:p>
    <w:p w14:paraId="0AFB645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4.供应商的法定代表人或被授权人须持身份证准时参加磋商活动会。</w:t>
      </w:r>
    </w:p>
    <w:p w14:paraId="6944FCB3">
      <w:pPr>
        <w:pStyle w:val="54"/>
        <w:widowControl/>
        <w:shd w:val="clear" w:color="auto" w:fill="FFFFFF"/>
        <w:spacing w:before="0" w:beforeAutospacing="0" w:after="0" w:afterAutospacing="0" w:line="360" w:lineRule="auto"/>
        <w:ind w:firstLine="482"/>
        <w:jc w:val="both"/>
        <w:rPr>
          <w:rFonts w:hint="eastAsia"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二、磋商的原则及方法</w:t>
      </w:r>
    </w:p>
    <w:p w14:paraId="398866EF">
      <w:pPr>
        <w:pStyle w:val="54"/>
        <w:widowControl/>
        <w:shd w:val="clear" w:color="auto" w:fill="FFFFFF"/>
        <w:spacing w:before="0" w:beforeAutospacing="0" w:after="0" w:afterAutospacing="0" w:line="360" w:lineRule="auto"/>
        <w:ind w:firstLine="482"/>
        <w:jc w:val="both"/>
        <w:rPr>
          <w:rFonts w:hint="eastAsia" w:ascii="Times New Roman" w:hAnsi="Times New Roman" w:eastAsia="宋体" w:cs="宋体"/>
          <w:color w:val="000000" w:themeColor="text1"/>
          <w:sz w:val="24"/>
          <w:szCs w:val="24"/>
          <w:lang w:val="en-US" w:eastAsia="zh-CN" w:bidi="ar-SA"/>
          <w14:textFill>
            <w14:solidFill>
              <w14:schemeClr w14:val="tx1"/>
            </w14:solidFill>
          </w14:textFill>
        </w:rPr>
      </w:pPr>
      <w:r>
        <w:rPr>
          <w:rFonts w:hint="eastAsia" w:ascii="Times New Roman" w:hAnsi="Times New Roman" w:eastAsia="宋体" w:cs="宋体"/>
          <w:color w:val="000000" w:themeColor="text1"/>
          <w:sz w:val="24"/>
          <w:szCs w:val="24"/>
          <w:lang w:val="en-US" w:eastAsia="zh-CN" w:bidi="ar-SA"/>
          <w14:textFill>
            <w14:solidFill>
              <w14:schemeClr w14:val="tx1"/>
            </w14:solidFill>
          </w14:textFill>
        </w:rPr>
        <w:t>1.磋商小组将按照竞争性磋商文件的规定，对每个参与竞争性磋商的供应商的响应文件进行资格审查和符合性审查。</w:t>
      </w:r>
    </w:p>
    <w:p w14:paraId="169F477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2.</w:t>
      </w:r>
      <w:r>
        <w:rPr>
          <w:rFonts w:hint="eastAsia" w:ascii="Times New Roman" w:hAnsi="Times New Roman" w:cs="宋体"/>
          <w:color w:val="000000" w:themeColor="text1"/>
          <w:sz w:val="24"/>
          <w:szCs w:val="24"/>
          <w14:textFill>
            <w14:solidFill>
              <w14:schemeClr w14:val="tx1"/>
            </w14:solidFill>
          </w14:textFill>
        </w:rPr>
        <w:t>磋商小组依据《中华人民共和国政府采购法》、《政府采购竞争性磋商采购方式管理暂行办法》以及有关政府采购的相关法规，遵循“公开、公平、公正、择优、信用”的原则进行磋商评审。</w:t>
      </w:r>
    </w:p>
    <w:p w14:paraId="7785F51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3.</w:t>
      </w:r>
      <w:r>
        <w:rPr>
          <w:rFonts w:hint="eastAsia" w:ascii="Times New Roman" w:hAnsi="Times New Roman" w:cs="宋体"/>
          <w:color w:val="000000" w:themeColor="text1"/>
          <w:sz w:val="24"/>
          <w:szCs w:val="24"/>
          <w14:textFill>
            <w14:solidFill>
              <w14:schemeClr w14:val="tx1"/>
            </w14:solidFill>
          </w14:textFill>
        </w:rPr>
        <w:t>磋商小组将按照竞争性磋商文件的规定，独立对每个进入打分程序的有效供应商的响应文件的技术部分以打分的形式进行评审和评价。技术分取算术平均值（计算结果均四舍五入保留两位小数）。</w:t>
      </w:r>
    </w:p>
    <w:p w14:paraId="6918C1D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4</w:t>
      </w:r>
      <w:r>
        <w:rPr>
          <w:rFonts w:hint="eastAsia" w:ascii="Times New Roman" w:hAnsi="Times New Roman" w:cs="宋体"/>
          <w:color w:val="000000" w:themeColor="text1"/>
          <w:sz w:val="24"/>
          <w:szCs w:val="24"/>
          <w14:textFill>
            <w14:solidFill>
              <w14:schemeClr w14:val="tx1"/>
            </w14:solidFill>
          </w14:textFill>
        </w:rPr>
        <w:t>.磋商小组根据磋商文件规定的程序、评定成交的标准等事项与实质性响应磋商文件要求的供应商进行磋商。未实质性响应磋商文件要求的响应文件按无效处理，磋商小组应当告知提交响应文件的供应商。</w:t>
      </w:r>
    </w:p>
    <w:p w14:paraId="75D1DF7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5</w:t>
      </w:r>
      <w:r>
        <w:rPr>
          <w:rFonts w:hint="eastAsia" w:ascii="Times New Roman" w:hAnsi="Times New Roman" w:cs="宋体"/>
          <w:color w:val="000000" w:themeColor="text1"/>
          <w:sz w:val="24"/>
          <w:szCs w:val="24"/>
          <w14:textFill>
            <w14:solidFill>
              <w14:schemeClr w14:val="tx1"/>
            </w14:solidFill>
          </w14:textFill>
        </w:rPr>
        <w:t>.磋商文件能够详细列明采购货物的技术、服务要求的，磋商结束后，磋商小组应当要求所有实质性响应的供应商在规定时间内提交最后报价，提交最后报价的供应商不得少于3家。</w:t>
      </w:r>
    </w:p>
    <w:p w14:paraId="0F771AE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磋商文件不能详细列明采购货物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674F996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6</w:t>
      </w:r>
      <w:r>
        <w:rPr>
          <w:rFonts w:hint="eastAsia" w:ascii="Times New Roman" w:hAnsi="Times New Roman" w:cs="宋体"/>
          <w:color w:val="000000" w:themeColor="text1"/>
          <w:sz w:val="24"/>
          <w:szCs w:val="24"/>
          <w14:textFill>
            <w14:solidFill>
              <w14:schemeClr w14:val="tx1"/>
            </w14:solidFill>
          </w14:textFill>
        </w:rPr>
        <w:t>.已提交响应文件的供应商，在提交最后报价之前，可以根据磋商情况退出磋商。</w:t>
      </w:r>
    </w:p>
    <w:p w14:paraId="73BE13C8">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lang w:val="en-US" w:eastAsia="zh-CN"/>
          <w14:textFill>
            <w14:solidFill>
              <w14:schemeClr w14:val="tx1"/>
            </w14:solidFill>
          </w14:textFill>
        </w:rPr>
        <w:t>7</w:t>
      </w:r>
      <w:r>
        <w:rPr>
          <w:rFonts w:hint="eastAsia" w:ascii="Times New Roman" w:hAnsi="Times New Roman" w:cs="宋体"/>
          <w:color w:val="000000" w:themeColor="text1"/>
          <w:sz w:val="24"/>
          <w:szCs w:val="24"/>
          <w14:textFill>
            <w14:solidFill>
              <w14:schemeClr w14:val="tx1"/>
            </w14:solidFill>
          </w14:textFill>
        </w:rPr>
        <w:t>.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价。对被认定为低于成本报价磋商竞价的报价做无效报价，按无效响应处理。</w:t>
      </w:r>
    </w:p>
    <w:p w14:paraId="5E09E567">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三、磋商评定结果的方法</w:t>
      </w:r>
    </w:p>
    <w:p w14:paraId="3CB2831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w:t>
      </w:r>
      <w:r>
        <w:rPr>
          <w:rFonts w:hint="eastAsia" w:ascii="Times New Roman" w:hAnsi="Times New Roman" w:cs="宋体"/>
          <w:b/>
          <w:color w:val="000000" w:themeColor="text1"/>
          <w:sz w:val="24"/>
          <w:szCs w:val="24"/>
          <w:u w:val="single"/>
          <w14:textFill>
            <w14:solidFill>
              <w14:schemeClr w14:val="tx1"/>
            </w14:solidFill>
          </w14:textFill>
        </w:rPr>
        <w:t>经磋商确定最终采购需求和提交最后报价的供应商后，</w:t>
      </w:r>
      <w:r>
        <w:rPr>
          <w:rFonts w:hint="eastAsia" w:ascii="Times New Roman" w:hAnsi="Times New Roman" w:cs="宋体"/>
          <w:color w:val="000000" w:themeColor="text1"/>
          <w:sz w:val="24"/>
          <w:szCs w:val="24"/>
          <w14:textFill>
            <w14:solidFill>
              <w14:schemeClr w14:val="tx1"/>
            </w14:solidFill>
          </w14:textFill>
        </w:rPr>
        <w:t>由磋商小组采用综合评分法</w:t>
      </w:r>
      <w:r>
        <w:rPr>
          <w:rFonts w:hint="eastAsia" w:ascii="Times New Roman" w:hAnsi="Times New Roman" w:cs="宋体"/>
          <w:b/>
          <w:color w:val="000000" w:themeColor="text1"/>
          <w:sz w:val="24"/>
          <w:szCs w:val="24"/>
          <w:u w:val="single"/>
          <w14:textFill>
            <w14:solidFill>
              <w14:schemeClr w14:val="tx1"/>
            </w14:solidFill>
          </w14:textFill>
        </w:rPr>
        <w:t>对提交最后报价的供应商的响应文件和最后报价</w:t>
      </w:r>
      <w:r>
        <w:rPr>
          <w:rFonts w:hint="eastAsia" w:ascii="Times New Roman" w:hAnsi="Times New Roman" w:cs="宋体"/>
          <w:color w:val="000000" w:themeColor="text1"/>
          <w:sz w:val="24"/>
          <w:szCs w:val="24"/>
          <w14:textFill>
            <w14:solidFill>
              <w14:schemeClr w14:val="tx1"/>
            </w14:solidFill>
          </w14:textFill>
        </w:rPr>
        <w:t>进行综合评分。</w:t>
      </w:r>
    </w:p>
    <w:p w14:paraId="275C386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2.评审时，磋商小组各成员应当独立对每个有效响应的文件进行评价、打分，然后汇总每个供应商每项评分因素的得分（计算结果均四舍五入保留两位小数）。</w:t>
      </w:r>
    </w:p>
    <w:p w14:paraId="17EC13C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3.本次项目磋商的技术和商务报价评审总分值为100分。两部分评审因素比重如下：</w:t>
      </w:r>
    </w:p>
    <w:p w14:paraId="56C026D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商务技术分值占总分值的比重为</w:t>
      </w:r>
      <w:r>
        <w:rPr>
          <w:rFonts w:hint="eastAsia" w:ascii="Times New Roman" w:hAnsi="Times New Roman" w:cs="宋体"/>
          <w:b/>
          <w:color w:val="000000" w:themeColor="text1"/>
          <w:sz w:val="24"/>
          <w:szCs w:val="24"/>
          <w:u w:val="single"/>
          <w:lang w:val="en-US" w:eastAsia="zh-CN"/>
          <w14:textFill>
            <w14:solidFill>
              <w14:schemeClr w14:val="tx1"/>
            </w14:solidFill>
          </w14:textFill>
        </w:rPr>
        <w:t>70</w:t>
      </w:r>
      <w:r>
        <w:rPr>
          <w:rFonts w:hint="eastAsia" w:ascii="Times New Roman" w:hAnsi="Times New Roman" w:cs="宋体"/>
          <w:b/>
          <w:color w:val="000000" w:themeColor="text1"/>
          <w:sz w:val="24"/>
          <w:szCs w:val="24"/>
          <w:u w:val="single"/>
          <w14:textFill>
            <w14:solidFill>
              <w14:schemeClr w14:val="tx1"/>
            </w14:solidFill>
          </w14:textFill>
        </w:rPr>
        <w:t>%（权重）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249DF220">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报价分值占总分值的比重为</w:t>
      </w:r>
      <w:r>
        <w:rPr>
          <w:rFonts w:hint="eastAsia" w:ascii="Times New Roman" w:hAnsi="Times New Roman" w:cs="宋体"/>
          <w:b/>
          <w:color w:val="000000" w:themeColor="text1"/>
          <w:sz w:val="24"/>
          <w:szCs w:val="24"/>
          <w:u w:val="single"/>
          <w:lang w:val="en-US" w:eastAsia="zh-CN"/>
          <w14:textFill>
            <w14:solidFill>
              <w14:schemeClr w14:val="tx1"/>
            </w14:solidFill>
          </w14:textFill>
        </w:rPr>
        <w:t>3</w:t>
      </w:r>
      <w:r>
        <w:rPr>
          <w:rFonts w:hint="eastAsia" w:ascii="Times New Roman" w:hAnsi="Times New Roman" w:cs="宋体"/>
          <w:b/>
          <w:color w:val="000000" w:themeColor="text1"/>
          <w:sz w:val="24"/>
          <w:szCs w:val="24"/>
          <w:u w:val="single"/>
          <w14:textFill>
            <w14:solidFill>
              <w14:schemeClr w14:val="tx1"/>
            </w14:solidFill>
          </w14:textFill>
        </w:rPr>
        <w:t>0%（权重）</w:t>
      </w:r>
      <w:r>
        <w:rPr>
          <w:rFonts w:hint="eastAsia" w:ascii="Times New Roman" w:hAnsi="Times New Roman" w:cs="宋体"/>
          <w:color w:val="000000" w:themeColor="text1"/>
          <w:sz w:val="24"/>
          <w:szCs w:val="24"/>
          <w14:textFill>
            <w14:solidFill>
              <w14:schemeClr w14:val="tx1"/>
            </w14:solidFill>
          </w14:textFill>
        </w:rPr>
        <w:t>（四舍五入保留两位小数）。</w:t>
      </w:r>
    </w:p>
    <w:p w14:paraId="5A5E7311">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4.技术分按算术平均值计算，分值四舍五入保留两位小数。</w:t>
      </w:r>
    </w:p>
    <w:p w14:paraId="74712AE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5.报价分统一采用低价优先法计算直接取得，与商务技术分相加为供应商的综合得分（四舍五入保留两位小数）。</w:t>
      </w:r>
    </w:p>
    <w:p w14:paraId="12FD8288">
      <w:pPr>
        <w:spacing w:line="360" w:lineRule="auto"/>
        <w:ind w:firstLine="480"/>
        <w:rPr>
          <w:rFonts w:ascii="Times New Roman" w:hAnsi="Times New Roman"/>
          <w:b/>
          <w:sz w:val="24"/>
          <w:szCs w:val="24"/>
          <w:highlight w:val="none"/>
        </w:rPr>
      </w:pPr>
      <w:r>
        <w:rPr>
          <w:rFonts w:hint="eastAsia" w:ascii="Times New Roman" w:hAnsi="Times New Roman" w:cs="宋体"/>
          <w:color w:val="000000" w:themeColor="text1"/>
          <w:sz w:val="24"/>
          <w:szCs w:val="24"/>
          <w14:textFill>
            <w14:solidFill>
              <w14:schemeClr w14:val="tx1"/>
            </w14:solidFill>
          </w14:textFill>
        </w:rPr>
        <w:t>6.</w:t>
      </w:r>
      <w:r>
        <w:rPr>
          <w:rFonts w:hint="eastAsia" w:ascii="Times New Roman" w:hAnsi="Times New Roman" w:cs="宋体"/>
          <w:sz w:val="24"/>
          <w:szCs w:val="24"/>
        </w:rPr>
        <w:t>磋商小组应当根据</w:t>
      </w:r>
      <w:r>
        <w:rPr>
          <w:rFonts w:hint="eastAsia" w:ascii="Times New Roman" w:hAnsi="Times New Roman" w:cs="宋体"/>
          <w:sz w:val="24"/>
          <w:szCs w:val="24"/>
          <w:highlight w:val="none"/>
        </w:rPr>
        <w:t>综合评分情况，按照评审得分由高到低顺序推荐3名成交候选供应商，</w:t>
      </w:r>
      <w:r>
        <w:rPr>
          <w:rFonts w:hint="eastAsia" w:ascii="Times New Roman" w:hAnsi="Times New Roman"/>
          <w:sz w:val="24"/>
          <w:szCs w:val="24"/>
          <w:highlight w:val="none"/>
        </w:rPr>
        <w:t>并编写评审报告。总得分最高者推荐为第一成交候选人。</w:t>
      </w:r>
      <w:r>
        <w:rPr>
          <w:rFonts w:hint="eastAsia" w:ascii="Times New Roman" w:hAnsi="Times New Roman"/>
          <w:b/>
          <w:sz w:val="24"/>
          <w:szCs w:val="24"/>
          <w:highlight w:val="none"/>
        </w:rPr>
        <w:t>采购人委托磋商小组确定成交供应商。</w:t>
      </w:r>
    </w:p>
    <w:p w14:paraId="2285557A">
      <w:pPr>
        <w:spacing w:line="360" w:lineRule="auto"/>
        <w:ind w:firstLine="480"/>
        <w:rPr>
          <w:rFonts w:ascii="Times New Roman" w:hAnsi="Times New Roman" w:cs="宋体"/>
          <w:sz w:val="24"/>
          <w:szCs w:val="24"/>
          <w:highlight w:val="none"/>
        </w:rPr>
      </w:pPr>
      <w:r>
        <w:rPr>
          <w:rFonts w:hint="eastAsia" w:ascii="Times New Roman" w:hAnsi="Times New Roman" w:cs="宋体"/>
          <w:sz w:val="24"/>
          <w:szCs w:val="24"/>
          <w:highlight w:val="none"/>
        </w:rPr>
        <w:t>7</w:t>
      </w:r>
      <w:r>
        <w:rPr>
          <w:rFonts w:hint="eastAsia" w:ascii="Times New Roman" w:hAnsi="Times New Roman" w:cs="宋体"/>
          <w:sz w:val="24"/>
          <w:szCs w:val="24"/>
          <w:highlight w:val="none"/>
          <w:lang w:val="en-US" w:eastAsia="zh-CN"/>
        </w:rPr>
        <w:t>.确定</w:t>
      </w:r>
      <w:r>
        <w:rPr>
          <w:rFonts w:hint="eastAsia" w:ascii="Times New Roman" w:hAnsi="Times New Roman" w:cs="宋体"/>
          <w:sz w:val="24"/>
          <w:szCs w:val="24"/>
          <w:highlight w:val="none"/>
        </w:rPr>
        <w:t>成交候选人的特殊情况处理：</w:t>
      </w:r>
    </w:p>
    <w:p w14:paraId="288E3F60">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（1）若总分相同，则按最终报价得分高者优先</w:t>
      </w:r>
      <w:r>
        <w:rPr>
          <w:rFonts w:hint="eastAsia" w:ascii="Times New Roman" w:hAnsi="Times New Roman" w:cs="宋体"/>
          <w:sz w:val="24"/>
          <w:szCs w:val="24"/>
          <w:highlight w:val="none"/>
          <w:lang w:val="en-US" w:eastAsia="zh-CN"/>
        </w:rPr>
        <w:t>成交</w:t>
      </w:r>
      <w:r>
        <w:rPr>
          <w:rFonts w:hint="eastAsia" w:ascii="Times New Roman" w:hAnsi="Times New Roman" w:cs="宋体"/>
          <w:sz w:val="24"/>
          <w:szCs w:val="24"/>
          <w:highlight w:val="none"/>
        </w:rPr>
        <w:t>。</w:t>
      </w:r>
    </w:p>
    <w:p w14:paraId="4D555881">
      <w:pPr>
        <w:spacing w:line="360" w:lineRule="auto"/>
        <w:ind w:firstLine="480"/>
        <w:rPr>
          <w:rFonts w:hint="eastAsia" w:ascii="Times New Roman" w:hAnsi="Times New Roman" w:cs="宋体"/>
          <w:sz w:val="24"/>
          <w:szCs w:val="24"/>
          <w:highlight w:val="none"/>
        </w:rPr>
      </w:pPr>
      <w:r>
        <w:rPr>
          <w:rFonts w:hint="eastAsia" w:ascii="Times New Roman" w:hAnsi="Times New Roman" w:cs="宋体"/>
          <w:sz w:val="24"/>
          <w:szCs w:val="24"/>
          <w:highlight w:val="none"/>
        </w:rPr>
        <w:t>（2）若总分且最终报价得分相同，则</w:t>
      </w:r>
      <w:r>
        <w:rPr>
          <w:rFonts w:hint="eastAsia" w:ascii="Times New Roman" w:hAnsi="Times New Roman" w:cs="宋体"/>
          <w:sz w:val="24"/>
          <w:szCs w:val="24"/>
          <w:highlight w:val="none"/>
          <w:lang w:val="en-US" w:eastAsia="zh-CN"/>
        </w:rPr>
        <w:t>由磋商小组</w:t>
      </w:r>
      <w:r>
        <w:rPr>
          <w:rFonts w:hint="eastAsia" w:ascii="Times New Roman" w:hAnsi="Times New Roman" w:cs="宋体"/>
          <w:sz w:val="24"/>
          <w:szCs w:val="24"/>
          <w:highlight w:val="none"/>
        </w:rPr>
        <w:t>采取现场抽签的方式确定（供应商</w:t>
      </w:r>
      <w:r>
        <w:rPr>
          <w:rFonts w:hint="eastAsia" w:ascii="Times New Roman" w:hAnsi="Times New Roman" w:cs="宋体"/>
          <w:sz w:val="24"/>
          <w:szCs w:val="24"/>
          <w:highlight w:val="none"/>
          <w:lang w:val="en-US" w:eastAsia="zh-CN"/>
        </w:rPr>
        <w:t>序号</w:t>
      </w:r>
      <w:r>
        <w:rPr>
          <w:rFonts w:hint="eastAsia" w:ascii="Times New Roman" w:hAnsi="Times New Roman" w:cs="宋体"/>
          <w:sz w:val="24"/>
          <w:szCs w:val="24"/>
          <w:highlight w:val="none"/>
        </w:rPr>
        <w:t>按递交响应文件签到</w:t>
      </w:r>
      <w:r>
        <w:rPr>
          <w:rFonts w:hint="eastAsia" w:ascii="Times New Roman" w:hAnsi="Times New Roman" w:cs="宋体"/>
          <w:sz w:val="24"/>
          <w:szCs w:val="24"/>
          <w:highlight w:val="none"/>
          <w:lang w:val="en-US" w:eastAsia="zh-CN"/>
        </w:rPr>
        <w:t>顺序</w:t>
      </w:r>
      <w:r>
        <w:rPr>
          <w:rFonts w:hint="eastAsia" w:ascii="Times New Roman" w:hAnsi="Times New Roman" w:cs="宋体"/>
          <w:sz w:val="24"/>
          <w:szCs w:val="24"/>
          <w:highlight w:val="none"/>
        </w:rPr>
        <w:t>确定）。</w:t>
      </w:r>
    </w:p>
    <w:p w14:paraId="7F58A08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8.磋商评审时，评委对评审的细则若有争议，由磋商小组集体讨论确定，并对未尽情况有最终解释权。</w:t>
      </w:r>
    </w:p>
    <w:p w14:paraId="06140BB5">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四、综合评分评审标准</w:t>
      </w:r>
    </w:p>
    <w:p w14:paraId="262B9098">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（一）商务技术分：（</w:t>
      </w:r>
      <w:r>
        <w:rPr>
          <w:rFonts w:hint="eastAsia" w:ascii="Times New Roman" w:hAnsi="Times New Roman" w:cs="宋体"/>
          <w:b/>
          <w:bCs/>
          <w:color w:val="000000" w:themeColor="text1"/>
          <w:szCs w:val="24"/>
          <w:shd w:val="clear" w:color="auto" w:fill="FFFFFF"/>
          <w:lang w:val="en-US" w:eastAsia="zh-CN"/>
          <w14:textFill>
            <w14:solidFill>
              <w14:schemeClr w14:val="tx1"/>
            </w14:solidFill>
          </w14:textFill>
        </w:rPr>
        <w:t>70</w:t>
      </w: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分）</w:t>
      </w:r>
    </w:p>
    <w:tbl>
      <w:tblPr>
        <w:tblStyle w:val="59"/>
        <w:tblW w:w="49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139"/>
        <w:gridCol w:w="710"/>
        <w:gridCol w:w="7219"/>
      </w:tblGrid>
      <w:tr w14:paraId="24624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413" w:type="pct"/>
            <w:vAlign w:val="center"/>
          </w:tcPr>
          <w:p w14:paraId="2E51A25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序号</w:t>
            </w:r>
          </w:p>
        </w:tc>
        <w:tc>
          <w:tcPr>
            <w:tcW w:w="576" w:type="pct"/>
            <w:vAlign w:val="center"/>
          </w:tcPr>
          <w:p w14:paraId="0CCD425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评分因素</w:t>
            </w:r>
          </w:p>
        </w:tc>
        <w:tc>
          <w:tcPr>
            <w:tcW w:w="359" w:type="pct"/>
            <w:vAlign w:val="center"/>
          </w:tcPr>
          <w:p w14:paraId="3976C4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分值</w:t>
            </w:r>
          </w:p>
        </w:tc>
        <w:tc>
          <w:tcPr>
            <w:tcW w:w="3651" w:type="pct"/>
            <w:vAlign w:val="center"/>
          </w:tcPr>
          <w:p w14:paraId="1C5FDB0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评分要求或标准</w:t>
            </w:r>
          </w:p>
        </w:tc>
      </w:tr>
      <w:tr w14:paraId="791A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13" w:type="pct"/>
            <w:vAlign w:val="center"/>
          </w:tcPr>
          <w:p w14:paraId="77C3E59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w:t>
            </w:r>
          </w:p>
        </w:tc>
        <w:tc>
          <w:tcPr>
            <w:tcW w:w="576" w:type="pct"/>
            <w:vAlign w:val="center"/>
          </w:tcPr>
          <w:p w14:paraId="2B29C4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项目需求理解及工作思路</w:t>
            </w:r>
          </w:p>
        </w:tc>
        <w:tc>
          <w:tcPr>
            <w:tcW w:w="359" w:type="pct"/>
            <w:vAlign w:val="center"/>
          </w:tcPr>
          <w:p w14:paraId="1EB1C4A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cs="宋体"/>
                <w:kern w:val="2"/>
                <w:sz w:val="21"/>
                <w:szCs w:val="21"/>
                <w:lang w:val="en-US" w:eastAsia="zh-CN"/>
              </w:rPr>
              <w:t>8</w:t>
            </w:r>
          </w:p>
        </w:tc>
        <w:tc>
          <w:tcPr>
            <w:tcW w:w="3651" w:type="pct"/>
            <w:vAlign w:val="center"/>
          </w:tcPr>
          <w:p w14:paraId="6569853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供应商提供对本项目需求理解及工作思路，包含①对本项目工作背景的认识和需求理解；②</w:t>
            </w:r>
            <w:r>
              <w:rPr>
                <w:rFonts w:hint="eastAsia" w:ascii="宋体" w:hAnsi="宋体" w:cs="宋体"/>
                <w:kern w:val="2"/>
                <w:sz w:val="21"/>
                <w:szCs w:val="21"/>
                <w:lang w:val="en-US" w:eastAsia="zh-CN"/>
              </w:rPr>
              <w:t>工作流程及</w:t>
            </w:r>
            <w:r>
              <w:rPr>
                <w:rFonts w:hint="eastAsia" w:ascii="宋体" w:hAnsi="宋体" w:eastAsia="宋体" w:cs="宋体"/>
                <w:kern w:val="2"/>
                <w:sz w:val="21"/>
                <w:szCs w:val="21"/>
              </w:rPr>
              <w:t>工作思路与原则。</w:t>
            </w:r>
          </w:p>
          <w:p w14:paraId="69FDB73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针对以上2点，每点包含的要点齐全无缺漏项、内容与本项目相符、需求理解完善的得</w:t>
            </w:r>
            <w:r>
              <w:rPr>
                <w:rFonts w:hint="eastAsia" w:ascii="宋体" w:hAnsi="宋体" w:cs="宋体"/>
                <w:kern w:val="2"/>
                <w:sz w:val="21"/>
                <w:szCs w:val="21"/>
                <w:lang w:val="en-US" w:eastAsia="zh-CN"/>
              </w:rPr>
              <w:t>4</w:t>
            </w:r>
            <w:r>
              <w:rPr>
                <w:rFonts w:hint="eastAsia" w:ascii="宋体" w:hAnsi="宋体" w:eastAsia="宋体" w:cs="宋体"/>
                <w:kern w:val="2"/>
                <w:sz w:val="21"/>
                <w:szCs w:val="21"/>
              </w:rPr>
              <w:t>分；每点内容包含的要点齐全、内容与要点相符，但仅有纲要内容简略，未科学合理展开阐述的得</w:t>
            </w:r>
            <w:r>
              <w:rPr>
                <w:rFonts w:hint="eastAsia" w:ascii="宋体" w:hAnsi="宋体" w:cs="宋体"/>
                <w:kern w:val="2"/>
                <w:sz w:val="21"/>
                <w:szCs w:val="21"/>
                <w:lang w:val="en-US" w:eastAsia="zh-CN"/>
              </w:rPr>
              <w:t>2</w:t>
            </w:r>
            <w:r>
              <w:rPr>
                <w:rFonts w:hint="eastAsia" w:ascii="宋体" w:hAnsi="宋体" w:eastAsia="宋体" w:cs="宋体"/>
                <w:kern w:val="2"/>
                <w:sz w:val="21"/>
                <w:szCs w:val="21"/>
              </w:rPr>
              <w:t>分；每点内容包含的要点有缺漏的得1分；每点内容与本项目无关或未提供相关内容的不得分。</w:t>
            </w:r>
          </w:p>
        </w:tc>
      </w:tr>
      <w:tr w14:paraId="7EE8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13" w:type="pct"/>
            <w:vAlign w:val="center"/>
          </w:tcPr>
          <w:p w14:paraId="75BA5ED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576" w:type="pct"/>
            <w:vAlign w:val="center"/>
          </w:tcPr>
          <w:p w14:paraId="5A7F823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实施方案</w:t>
            </w:r>
          </w:p>
        </w:tc>
        <w:tc>
          <w:tcPr>
            <w:tcW w:w="359" w:type="pct"/>
            <w:vAlign w:val="center"/>
          </w:tcPr>
          <w:p w14:paraId="598A6A7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20</w:t>
            </w:r>
          </w:p>
        </w:tc>
        <w:tc>
          <w:tcPr>
            <w:tcW w:w="3651" w:type="pct"/>
            <w:vAlign w:val="center"/>
          </w:tcPr>
          <w:p w14:paraId="3B0AA7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供应商提供调查与评估工作实施方案，能够科学合理指导本项目实施。包含①技术</w:t>
            </w:r>
            <w:r>
              <w:rPr>
                <w:rFonts w:hint="eastAsia" w:ascii="宋体" w:hAnsi="宋体" w:eastAsia="宋体" w:cs="宋体"/>
                <w:kern w:val="2"/>
                <w:sz w:val="21"/>
                <w:szCs w:val="21"/>
                <w:lang w:val="en-US" w:eastAsia="zh-CN"/>
              </w:rPr>
              <w:t>保障措施</w:t>
            </w:r>
            <w:r>
              <w:rPr>
                <w:rFonts w:hint="eastAsia" w:ascii="宋体" w:hAnsi="宋体" w:eastAsia="宋体" w:cs="宋体"/>
                <w:kern w:val="2"/>
                <w:sz w:val="21"/>
                <w:szCs w:val="21"/>
              </w:rPr>
              <w:t>；②工作进度、计划安排；③质量保障措施；④</w:t>
            </w:r>
            <w:r>
              <w:rPr>
                <w:rFonts w:hint="eastAsia" w:ascii="宋体" w:hAnsi="宋体" w:eastAsia="宋体" w:cs="宋体"/>
                <w:kern w:val="2"/>
                <w:sz w:val="21"/>
                <w:szCs w:val="21"/>
                <w:lang w:val="en-US" w:eastAsia="zh-CN"/>
              </w:rPr>
              <w:t>内部审核机制</w:t>
            </w:r>
            <w:r>
              <w:rPr>
                <w:rFonts w:hint="eastAsia" w:ascii="宋体" w:hAnsi="宋体" w:eastAsia="宋体" w:cs="宋体"/>
                <w:kern w:val="2"/>
                <w:sz w:val="21"/>
                <w:szCs w:val="21"/>
              </w:rPr>
              <w:t>。</w:t>
            </w:r>
          </w:p>
          <w:p w14:paraId="4F19BF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rPr>
            </w:pPr>
            <w:r>
              <w:rPr>
                <w:rFonts w:hint="eastAsia" w:ascii="宋体" w:hAnsi="宋体" w:eastAsia="宋体" w:cs="宋体"/>
                <w:kern w:val="2"/>
                <w:sz w:val="21"/>
                <w:szCs w:val="21"/>
              </w:rPr>
              <w:t>针对以上4点，每点包含的要点齐全无缺漏项、内容与本项目相符、需求理解完善的得5分；每点内容包含的要点齐全、内容与要点相符，但仅有纲要内容简略，未科学合理展开阐述的得3分；每点内容包含的要点有缺漏的得1分；每点内容与本项目无关或未提供相关内容的不得分。</w:t>
            </w:r>
          </w:p>
        </w:tc>
      </w:tr>
      <w:tr w14:paraId="0682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blHeader/>
          <w:jc w:val="center"/>
        </w:trPr>
        <w:tc>
          <w:tcPr>
            <w:tcW w:w="413" w:type="pct"/>
            <w:vAlign w:val="center"/>
          </w:tcPr>
          <w:p w14:paraId="52CA2A9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3</w:t>
            </w:r>
          </w:p>
        </w:tc>
        <w:tc>
          <w:tcPr>
            <w:tcW w:w="576" w:type="pct"/>
            <w:vAlign w:val="center"/>
          </w:tcPr>
          <w:p w14:paraId="5457D7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人员资质</w:t>
            </w:r>
          </w:p>
        </w:tc>
        <w:tc>
          <w:tcPr>
            <w:tcW w:w="359" w:type="pct"/>
            <w:vAlign w:val="center"/>
          </w:tcPr>
          <w:p w14:paraId="2898DFF0">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17</w:t>
            </w:r>
          </w:p>
        </w:tc>
        <w:tc>
          <w:tcPr>
            <w:tcW w:w="3651" w:type="pct"/>
            <w:vAlign w:val="center"/>
          </w:tcPr>
          <w:p w14:paraId="4A7714F7">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1.项目负责人（</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14:paraId="3E204A81">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（1）具有辐射或环境相关专业研究生及以上学历得2分，具有辐射或环境相关专业本科学历得1分；</w:t>
            </w:r>
          </w:p>
          <w:p w14:paraId="6B760B2A">
            <w:pPr>
              <w:rPr>
                <w:rFonts w:hint="eastAsia"/>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具有环境保护专业高级及以上工程师职称得2分，中级工程师职称得1分；</w:t>
            </w:r>
          </w:p>
          <w:p w14:paraId="6E7E4012">
            <w:pPr>
              <w:pStyle w:val="1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）具有注册核安全工程师证书得3分</w:t>
            </w:r>
            <w:r>
              <w:rPr>
                <w:rFonts w:hint="eastAsia" w:ascii="宋体" w:hAnsi="宋体" w:cs="宋体"/>
                <w:color w:val="auto"/>
                <w:sz w:val="21"/>
                <w:szCs w:val="21"/>
                <w:highlight w:val="none"/>
                <w:lang w:val="en-US" w:eastAsia="zh-CN"/>
              </w:rPr>
              <w:t>。</w:t>
            </w:r>
          </w:p>
          <w:p w14:paraId="5BDE9B93">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b/>
                <w:bCs/>
                <w:color w:val="auto"/>
                <w:sz w:val="21"/>
                <w:szCs w:val="21"/>
                <w:highlight w:val="none"/>
                <w:lang w:val="en-US" w:eastAsia="zh-CN"/>
              </w:rPr>
              <w:t>注：提供相应学历证明文件及</w:t>
            </w:r>
            <w:r>
              <w:rPr>
                <w:rFonts w:hint="eastAsia" w:ascii="宋体" w:hAnsi="宋体" w:cs="宋体"/>
                <w:b/>
                <w:bCs/>
                <w:color w:val="auto"/>
                <w:sz w:val="21"/>
                <w:szCs w:val="21"/>
                <w:highlight w:val="none"/>
                <w:lang w:val="en-US" w:eastAsia="zh-CN"/>
              </w:rPr>
              <w:t>相关证书</w:t>
            </w:r>
            <w:r>
              <w:rPr>
                <w:rFonts w:hint="eastAsia" w:ascii="宋体" w:hAnsi="宋体" w:eastAsia="宋体" w:cs="宋体"/>
                <w:b/>
                <w:bCs/>
                <w:color w:val="auto"/>
                <w:sz w:val="21"/>
                <w:szCs w:val="21"/>
                <w:highlight w:val="none"/>
                <w:lang w:val="en-US" w:eastAsia="zh-CN"/>
              </w:rPr>
              <w:t>复印件，</w:t>
            </w:r>
            <w:r>
              <w:rPr>
                <w:rFonts w:hint="eastAsia" w:ascii="宋体" w:hAnsi="宋体" w:eastAsia="宋体" w:cs="宋体"/>
                <w:b/>
                <w:bCs/>
                <w:sz w:val="21"/>
                <w:szCs w:val="21"/>
                <w:highlight w:val="none"/>
                <w:lang w:val="en-US" w:eastAsia="zh-CN"/>
              </w:rPr>
              <w:t>还须提供2026年1月以来供应商为其缴纳的任意一个月社保缴纳证明。</w:t>
            </w:r>
          </w:p>
          <w:p w14:paraId="05A6810C">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bidi="ar-SA"/>
              </w:rPr>
              <w:t>2.</w:t>
            </w:r>
            <w:r>
              <w:rPr>
                <w:rFonts w:hint="eastAsia" w:ascii="宋体" w:hAnsi="宋体" w:eastAsia="宋体" w:cs="宋体"/>
                <w:sz w:val="21"/>
                <w:szCs w:val="21"/>
                <w:highlight w:val="none"/>
                <w:lang w:val="en-US" w:eastAsia="zh-CN"/>
              </w:rPr>
              <w:t>项目组成员（不含项目负责人）（</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分）</w:t>
            </w:r>
          </w:p>
          <w:p w14:paraId="65AB30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default"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（1）具有辐射或环境相关专业毕业的每有1人得1分，本项最多得4分。</w:t>
            </w:r>
            <w:r>
              <w:rPr>
                <w:rFonts w:hint="eastAsia" w:ascii="宋体" w:hAnsi="宋体" w:eastAsia="宋体" w:cs="宋体"/>
                <w:b/>
                <w:bCs/>
                <w:sz w:val="21"/>
                <w:szCs w:val="21"/>
                <w:highlight w:val="none"/>
                <w:lang w:val="en-US" w:eastAsia="zh-CN"/>
              </w:rPr>
              <w:t>提供毕业证书复印件加盖公章。</w:t>
            </w:r>
          </w:p>
          <w:p w14:paraId="1F0804E2">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）具有环境保护专业高级及以上工程师职称的每有</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人得1分，中级工程师职称的每有</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人得0.5分，本项最多得</w:t>
            </w:r>
            <w:r>
              <w:rPr>
                <w:rFonts w:hint="eastAsia" w:ascii="宋体" w:hAnsi="宋体" w:cs="宋体"/>
                <w:color w:val="auto"/>
                <w:sz w:val="21"/>
                <w:szCs w:val="21"/>
                <w:highlight w:val="none"/>
                <w:lang w:val="en-US" w:eastAsia="zh-CN"/>
              </w:rPr>
              <w:t>2</w:t>
            </w:r>
            <w:r>
              <w:rPr>
                <w:rFonts w:hint="eastAsia" w:ascii="宋体" w:hAnsi="宋体" w:eastAsia="宋体" w:cs="宋体"/>
                <w:sz w:val="21"/>
                <w:szCs w:val="21"/>
                <w:highlight w:val="none"/>
                <w:lang w:val="en-US" w:eastAsia="zh-CN"/>
              </w:rPr>
              <w:t>分。</w:t>
            </w:r>
            <w:r>
              <w:rPr>
                <w:rFonts w:hint="eastAsia" w:ascii="宋体" w:hAnsi="宋体" w:eastAsia="宋体" w:cs="宋体"/>
                <w:b/>
                <w:bCs/>
                <w:sz w:val="21"/>
                <w:szCs w:val="21"/>
                <w:highlight w:val="none"/>
                <w:lang w:val="en-US" w:eastAsia="zh-CN"/>
              </w:rPr>
              <w:t>提供职称证书复印件加盖公章</w:t>
            </w:r>
            <w:r>
              <w:rPr>
                <w:rFonts w:hint="eastAsia" w:ascii="宋体" w:hAnsi="宋体" w:cs="宋体"/>
                <w:b/>
                <w:bCs/>
                <w:sz w:val="21"/>
                <w:szCs w:val="21"/>
                <w:highlight w:val="none"/>
                <w:lang w:val="en-US" w:eastAsia="zh-CN"/>
              </w:rPr>
              <w:t>。</w:t>
            </w:r>
          </w:p>
          <w:p w14:paraId="331D3790">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具有</w:t>
            </w:r>
            <w:r>
              <w:rPr>
                <w:rFonts w:hint="eastAsia" w:ascii="宋体" w:hAnsi="宋体" w:eastAsia="宋体" w:cs="宋体"/>
                <w:color w:val="auto"/>
                <w:sz w:val="21"/>
                <w:szCs w:val="21"/>
                <w:highlight w:val="none"/>
                <w:lang w:val="en-US" w:eastAsia="zh-CN"/>
              </w:rPr>
              <w:t>从事核与辐射</w:t>
            </w:r>
            <w:r>
              <w:rPr>
                <w:rFonts w:hint="eastAsia" w:ascii="宋体" w:hAnsi="宋体" w:cs="宋体"/>
                <w:color w:val="auto"/>
                <w:sz w:val="21"/>
                <w:szCs w:val="21"/>
                <w:highlight w:val="none"/>
                <w:lang w:val="en-US" w:eastAsia="zh-CN"/>
              </w:rPr>
              <w:t>类</w:t>
            </w:r>
            <w:r>
              <w:rPr>
                <w:rFonts w:hint="eastAsia" w:ascii="宋体" w:hAnsi="宋体" w:eastAsia="宋体" w:cs="宋体"/>
                <w:color w:val="auto"/>
                <w:sz w:val="21"/>
                <w:szCs w:val="21"/>
                <w:highlight w:val="none"/>
                <w:lang w:val="en-US" w:eastAsia="zh-CN"/>
              </w:rPr>
              <w:t>技术咨询岗位相关工作1年</w:t>
            </w:r>
            <w:r>
              <w:rPr>
                <w:rFonts w:hint="eastAsia" w:ascii="宋体" w:hAnsi="宋体" w:cs="宋体"/>
                <w:color w:val="auto"/>
                <w:sz w:val="21"/>
                <w:szCs w:val="21"/>
                <w:highlight w:val="none"/>
                <w:lang w:val="en-US" w:eastAsia="zh-CN"/>
              </w:rPr>
              <w:t>（含）</w:t>
            </w:r>
            <w:r>
              <w:rPr>
                <w:rFonts w:hint="eastAsia" w:ascii="宋体" w:hAnsi="宋体" w:eastAsia="宋体" w:cs="宋体"/>
                <w:color w:val="auto"/>
                <w:sz w:val="21"/>
                <w:szCs w:val="21"/>
                <w:highlight w:val="none"/>
                <w:lang w:val="en-US" w:eastAsia="zh-CN"/>
              </w:rPr>
              <w:t>以上，</w:t>
            </w:r>
            <w:r>
              <w:rPr>
                <w:rFonts w:hint="eastAsia" w:ascii="宋体" w:hAnsi="宋体" w:eastAsia="宋体" w:cs="宋体"/>
                <w:sz w:val="21"/>
                <w:szCs w:val="21"/>
                <w:highlight w:val="none"/>
                <w:lang w:val="en-US" w:eastAsia="zh-CN"/>
              </w:rPr>
              <w:t>每有1人得1分，本项最多得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w:t>
            </w:r>
            <w:r>
              <w:rPr>
                <w:rFonts w:hint="eastAsia" w:ascii="宋体" w:hAnsi="宋体" w:eastAsia="宋体" w:cs="宋体"/>
                <w:b/>
                <w:bCs/>
                <w:sz w:val="21"/>
                <w:szCs w:val="21"/>
                <w:highlight w:val="none"/>
                <w:lang w:val="en-US" w:eastAsia="zh-CN"/>
              </w:rPr>
              <w:t>提供从业经历证明材料或由工作单位出具的证明函。</w:t>
            </w:r>
          </w:p>
          <w:p w14:paraId="34435043">
            <w:pPr>
              <w:pStyle w:val="13"/>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left="0" w:leftChars="0" w:firstLine="0" w:firstLineChars="0"/>
              <w:textAlignment w:val="auto"/>
              <w:rPr>
                <w:rFonts w:hint="eastAsia"/>
                <w:sz w:val="21"/>
                <w:szCs w:val="21"/>
              </w:rPr>
            </w:pPr>
            <w:r>
              <w:rPr>
                <w:rFonts w:hint="eastAsia" w:ascii="宋体" w:hAnsi="宋体" w:eastAsia="宋体" w:cs="宋体"/>
                <w:b/>
                <w:bCs/>
                <w:color w:val="auto"/>
                <w:sz w:val="21"/>
                <w:szCs w:val="21"/>
                <w:highlight w:val="none"/>
                <w:lang w:val="en-US" w:eastAsia="zh-CN"/>
              </w:rPr>
              <w:t>注：以上涉及的人员还须提供2026年1月以来供应商为其缴纳的任意一个月社保缴纳证明。</w:t>
            </w:r>
          </w:p>
        </w:tc>
      </w:tr>
      <w:tr w14:paraId="6E68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413" w:type="pct"/>
            <w:vAlign w:val="center"/>
          </w:tcPr>
          <w:p w14:paraId="14B912E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4</w:t>
            </w:r>
          </w:p>
        </w:tc>
        <w:tc>
          <w:tcPr>
            <w:tcW w:w="576" w:type="pct"/>
            <w:vAlign w:val="center"/>
          </w:tcPr>
          <w:p w14:paraId="51BF7A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cs="宋体"/>
                <w:sz w:val="21"/>
                <w:szCs w:val="21"/>
                <w:highlight w:val="none"/>
                <w:lang w:val="en-US" w:eastAsia="zh-CN"/>
              </w:rPr>
            </w:pPr>
            <w:r>
              <w:rPr>
                <w:rFonts w:hint="eastAsia" w:ascii="宋体" w:hAnsi="宋体" w:eastAsia="宋体" w:cs="宋体"/>
                <w:sz w:val="21"/>
                <w:szCs w:val="21"/>
                <w:highlight w:val="none"/>
                <w:lang w:val="en-US" w:eastAsia="zh-CN"/>
              </w:rPr>
              <w:t>专家</w:t>
            </w:r>
            <w:r>
              <w:rPr>
                <w:rFonts w:hint="eastAsia" w:ascii="宋体" w:hAnsi="宋体" w:cs="宋体"/>
                <w:sz w:val="21"/>
                <w:szCs w:val="21"/>
                <w:highlight w:val="none"/>
                <w:lang w:val="en-US" w:eastAsia="zh-CN"/>
              </w:rPr>
              <w:t>库</w:t>
            </w:r>
          </w:p>
          <w:p w14:paraId="290CE75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1"/>
                <w:szCs w:val="21"/>
                <w:lang w:val="en-US"/>
              </w:rPr>
            </w:pPr>
            <w:r>
              <w:rPr>
                <w:rFonts w:hint="eastAsia" w:ascii="宋体" w:hAnsi="宋体" w:cs="宋体"/>
                <w:sz w:val="21"/>
                <w:szCs w:val="21"/>
                <w:highlight w:val="none"/>
                <w:lang w:val="en-US" w:eastAsia="zh-CN"/>
              </w:rPr>
              <w:t>应用</w:t>
            </w:r>
          </w:p>
        </w:tc>
        <w:tc>
          <w:tcPr>
            <w:tcW w:w="359" w:type="pct"/>
            <w:vAlign w:val="center"/>
          </w:tcPr>
          <w:p w14:paraId="03EFFCE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5</w:t>
            </w:r>
          </w:p>
        </w:tc>
        <w:tc>
          <w:tcPr>
            <w:tcW w:w="3651" w:type="pct"/>
            <w:vAlign w:val="center"/>
          </w:tcPr>
          <w:p w14:paraId="15D3548D">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具有完整的核与辐射技术评估专家库使用台账记录的(包括但不限于专家抽取记录、专家意见、对专家的评分等)，得5分；专家库使用记录台账不完整的，得3分；无专家库使用记录的，得0分。</w:t>
            </w:r>
          </w:p>
          <w:p w14:paraId="2AABCBA5">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lang w:val="en-US" w:eastAsia="zh-CN"/>
              </w:rPr>
            </w:pPr>
            <w:r>
              <w:rPr>
                <w:rFonts w:hint="eastAsia" w:ascii="宋体" w:hAnsi="宋体" w:eastAsia="宋体" w:cs="宋体"/>
                <w:b/>
                <w:bCs/>
                <w:color w:val="auto"/>
                <w:sz w:val="21"/>
                <w:szCs w:val="21"/>
                <w:highlight w:val="none"/>
                <w:lang w:val="en-US" w:eastAsia="zh-CN" w:bidi="ar-SA"/>
              </w:rPr>
              <w:t>注:提供使用台账记录相关证明材料(体现专家抽取记录、专家意见、对专家的评分)</w:t>
            </w:r>
            <w:r>
              <w:rPr>
                <w:rFonts w:hint="eastAsia" w:ascii="宋体" w:hAnsi="宋体" w:cs="宋体"/>
                <w:b/>
                <w:bCs/>
                <w:color w:val="auto"/>
                <w:sz w:val="21"/>
                <w:szCs w:val="21"/>
                <w:highlight w:val="none"/>
                <w:lang w:val="en-US" w:eastAsia="zh-CN" w:bidi="ar-SA"/>
              </w:rPr>
              <w:t>并</w:t>
            </w:r>
            <w:r>
              <w:rPr>
                <w:rFonts w:hint="eastAsia" w:ascii="宋体" w:hAnsi="宋体" w:eastAsia="宋体" w:cs="宋体"/>
                <w:b/>
                <w:bCs/>
                <w:color w:val="auto"/>
                <w:sz w:val="21"/>
                <w:szCs w:val="21"/>
                <w:highlight w:val="none"/>
                <w:lang w:val="en-US" w:eastAsia="zh-CN" w:bidi="ar-SA"/>
              </w:rPr>
              <w:t>加盖公章。</w:t>
            </w:r>
          </w:p>
        </w:tc>
      </w:tr>
      <w:tr w14:paraId="71E7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blHeader/>
          <w:jc w:val="center"/>
        </w:trPr>
        <w:tc>
          <w:tcPr>
            <w:tcW w:w="413" w:type="pct"/>
            <w:vAlign w:val="center"/>
          </w:tcPr>
          <w:p w14:paraId="0ED6BA4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5</w:t>
            </w:r>
          </w:p>
        </w:tc>
        <w:tc>
          <w:tcPr>
            <w:tcW w:w="576" w:type="pct"/>
            <w:vAlign w:val="center"/>
          </w:tcPr>
          <w:p w14:paraId="36C1F15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业绩</w:t>
            </w:r>
          </w:p>
        </w:tc>
        <w:tc>
          <w:tcPr>
            <w:tcW w:w="359" w:type="pct"/>
            <w:vAlign w:val="center"/>
          </w:tcPr>
          <w:p w14:paraId="0D44EDF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宋体" w:hAnsi="宋体" w:eastAsia="宋体" w:cs="宋体"/>
                <w:kern w:val="2"/>
                <w:sz w:val="21"/>
                <w:szCs w:val="21"/>
                <w:lang w:val="en-US" w:eastAsia="zh-CN"/>
              </w:rPr>
            </w:pPr>
            <w:r>
              <w:rPr>
                <w:rFonts w:hint="eastAsia" w:ascii="宋体" w:hAnsi="宋体" w:cs="宋体"/>
                <w:kern w:val="2"/>
                <w:sz w:val="21"/>
                <w:szCs w:val="21"/>
                <w:lang w:val="en-US" w:eastAsia="zh-CN"/>
              </w:rPr>
              <w:t>20</w:t>
            </w:r>
          </w:p>
        </w:tc>
        <w:tc>
          <w:tcPr>
            <w:tcW w:w="3651" w:type="pct"/>
            <w:vAlign w:val="center"/>
          </w:tcPr>
          <w:p w14:paraId="08DFA0F3">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202</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年1月</w:t>
            </w:r>
            <w:r>
              <w:rPr>
                <w:rFonts w:hint="eastAsia" w:ascii="宋体" w:hAnsi="宋体" w:eastAsia="宋体" w:cs="宋体"/>
                <w:kern w:val="2"/>
                <w:sz w:val="21"/>
                <w:szCs w:val="21"/>
                <w:highlight w:val="none"/>
                <w:lang w:val="en-US" w:eastAsia="zh-CN" w:bidi="ar-SA"/>
              </w:rPr>
              <w:t>以来（以合同签订时间为准）开展过的辐射类环评</w:t>
            </w:r>
            <w:r>
              <w:rPr>
                <w:rFonts w:hint="eastAsia" w:ascii="宋体" w:hAnsi="宋体" w:eastAsia="宋体" w:cs="宋体"/>
                <w:sz w:val="21"/>
                <w:szCs w:val="21"/>
                <w:highlight w:val="none"/>
                <w:lang w:val="en-US" w:eastAsia="zh-CN"/>
              </w:rPr>
              <w:t>文件</w:t>
            </w:r>
            <w:r>
              <w:rPr>
                <w:rFonts w:hint="eastAsia" w:ascii="宋体" w:hAnsi="宋体" w:eastAsia="宋体" w:cs="宋体"/>
                <w:kern w:val="2"/>
                <w:sz w:val="21"/>
                <w:szCs w:val="21"/>
                <w:highlight w:val="none"/>
                <w:lang w:val="en-US" w:eastAsia="zh-CN" w:bidi="ar-SA"/>
              </w:rPr>
              <w:t>技术评估项目，每1个合同得</w:t>
            </w:r>
            <w:r>
              <w:rPr>
                <w:rFonts w:hint="eastAsia" w:ascii="宋体" w:hAnsi="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分，本项最高</w:t>
            </w:r>
            <w:r>
              <w:rPr>
                <w:rFonts w:hint="eastAsia" w:ascii="宋体" w:hAnsi="宋体" w:cs="宋体"/>
                <w:kern w:val="2"/>
                <w:sz w:val="21"/>
                <w:szCs w:val="21"/>
                <w:highlight w:val="none"/>
                <w:lang w:val="en-US" w:eastAsia="zh-CN" w:bidi="ar-SA"/>
              </w:rPr>
              <w:t>20</w:t>
            </w:r>
            <w:r>
              <w:rPr>
                <w:rFonts w:hint="eastAsia" w:ascii="宋体" w:hAnsi="宋体" w:eastAsia="宋体" w:cs="宋体"/>
                <w:kern w:val="2"/>
                <w:sz w:val="21"/>
                <w:szCs w:val="21"/>
                <w:highlight w:val="none"/>
                <w:lang w:val="en-US" w:eastAsia="zh-CN" w:bidi="ar-SA"/>
              </w:rPr>
              <w:t>分。</w:t>
            </w:r>
          </w:p>
          <w:p w14:paraId="5DB31D9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b/>
                <w:bCs/>
                <w:kern w:val="2"/>
                <w:sz w:val="21"/>
                <w:szCs w:val="21"/>
                <w:highlight w:val="none"/>
                <w:lang w:val="en-US" w:eastAsia="zh-CN" w:bidi="ar-SA"/>
              </w:rPr>
              <w:t>注：</w:t>
            </w:r>
            <w:r>
              <w:rPr>
                <w:rFonts w:hint="eastAsia" w:ascii="宋体" w:hAnsi="宋体" w:eastAsia="宋体" w:cs="宋体"/>
                <w:b/>
                <w:bCs/>
                <w:sz w:val="21"/>
                <w:szCs w:val="21"/>
                <w:highlight w:val="none"/>
              </w:rPr>
              <w:t>提供合同复印件</w:t>
            </w:r>
            <w:r>
              <w:rPr>
                <w:rFonts w:hint="eastAsia" w:ascii="宋体" w:hAnsi="宋体" w:eastAsia="宋体" w:cs="宋体"/>
                <w:b/>
                <w:bCs/>
                <w:sz w:val="21"/>
                <w:szCs w:val="21"/>
                <w:highlight w:val="none"/>
                <w:lang w:val="en-US" w:eastAsia="zh-CN"/>
              </w:rPr>
              <w:t>加盖公章</w:t>
            </w:r>
            <w:r>
              <w:rPr>
                <w:rFonts w:hint="eastAsia" w:ascii="宋体" w:hAnsi="宋体" w:eastAsia="宋体" w:cs="宋体"/>
                <w:b/>
                <w:bCs/>
                <w:sz w:val="21"/>
                <w:szCs w:val="21"/>
                <w:highlight w:val="none"/>
              </w:rPr>
              <w:t>。</w:t>
            </w:r>
          </w:p>
        </w:tc>
      </w:tr>
    </w:tbl>
    <w:p w14:paraId="775B2A5F">
      <w:pPr>
        <w:pStyle w:val="54"/>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注：以上所提供材料必须真实可靠，伪造证书证件、伪造合同等一切弄虚作假行为，一经发现和查实，采购方有权取消成交资格或终止合同，并追究供应商经济和法律责任，同时上报有关部门列入诚信黑名单。</w:t>
      </w:r>
    </w:p>
    <w:p w14:paraId="7F758468">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（二）报价分：（</w:t>
      </w:r>
      <w:r>
        <w:rPr>
          <w:rFonts w:hint="eastAsia" w:ascii="Times New Roman" w:hAnsi="Times New Roman" w:cs="宋体"/>
          <w:b/>
          <w:bCs/>
          <w:color w:val="000000" w:themeColor="text1"/>
          <w:szCs w:val="24"/>
          <w:shd w:val="clear" w:color="auto" w:fill="FFFFFF"/>
          <w:lang w:val="en-US" w:eastAsia="zh-CN"/>
          <w14:textFill>
            <w14:solidFill>
              <w14:schemeClr w14:val="tx1"/>
            </w14:solidFill>
          </w14:textFill>
        </w:rPr>
        <w:t>30</w:t>
      </w: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分）</w:t>
      </w:r>
    </w:p>
    <w:p w14:paraId="30281A44">
      <w:pPr>
        <w:spacing w:line="360" w:lineRule="auto"/>
        <w:ind w:firstLine="480"/>
        <w:rPr>
          <w:rFonts w:hint="default" w:ascii="Arial" w:hAnsi="Arial" w:cs="Arial"/>
          <w:b/>
          <w:bCs/>
          <w:color w:val="FF0000"/>
          <w:sz w:val="24"/>
          <w:szCs w:val="24"/>
          <w:highlight w:val="none"/>
          <w:u w:val="single"/>
          <w:lang w:val="en-US" w:eastAsia="zh-CN"/>
        </w:rPr>
      </w:pPr>
      <w:r>
        <w:rPr>
          <w:rFonts w:hint="eastAsia" w:ascii="Times New Roman" w:hAnsi="Times New Roman" w:cs="宋体"/>
          <w:b w:val="0"/>
          <w:bCs w:val="0"/>
          <w:color w:val="000000" w:themeColor="text1"/>
          <w:sz w:val="24"/>
          <w:szCs w:val="24"/>
          <w14:textFill>
            <w14:solidFill>
              <w14:schemeClr w14:val="tx1"/>
            </w14:solidFill>
          </w14:textFill>
        </w:rPr>
        <w:t>1.最高限价：本项目采用折扣报价形式，最高折扣100%，响应报价超过最高折扣的为无效响应文件</w:t>
      </w:r>
      <w:r>
        <w:rPr>
          <w:rFonts w:hint="eastAsia" w:ascii="Times New Roman" w:hAnsi="Times New Roman" w:cs="宋体"/>
          <w:b w:val="0"/>
          <w:bCs w:val="0"/>
          <w:color w:val="auto"/>
          <w:sz w:val="24"/>
          <w:szCs w:val="24"/>
          <w:highlight w:val="none"/>
        </w:rPr>
        <w:t>。</w:t>
      </w:r>
      <w:r>
        <w:rPr>
          <w:rFonts w:hint="default" w:ascii="Arial" w:hAnsi="Arial" w:cs="Arial"/>
          <w:b/>
          <w:bCs/>
          <w:color w:val="FF0000"/>
          <w:sz w:val="24"/>
          <w:szCs w:val="24"/>
          <w:highlight w:val="none"/>
          <w:u w:val="single"/>
          <w:lang w:val="en-US" w:eastAsia="zh-CN"/>
        </w:rPr>
        <w:t>本项目</w:t>
      </w:r>
      <w:r>
        <w:rPr>
          <w:rFonts w:hint="eastAsia" w:ascii="Arial" w:hAnsi="Arial" w:cs="Arial"/>
          <w:b/>
          <w:bCs/>
          <w:color w:val="FF0000"/>
          <w:sz w:val="24"/>
          <w:szCs w:val="24"/>
          <w:highlight w:val="none"/>
          <w:u w:val="single"/>
          <w:lang w:val="en-US" w:eastAsia="zh-CN"/>
        </w:rPr>
        <w:t>涉及的多个服务类别统一报一个折扣，响应折扣</w:t>
      </w:r>
      <w:r>
        <w:rPr>
          <w:rFonts w:hint="default" w:ascii="Arial" w:hAnsi="Arial" w:cs="Arial"/>
          <w:b/>
          <w:bCs/>
          <w:color w:val="FF0000"/>
          <w:sz w:val="24"/>
          <w:szCs w:val="24"/>
          <w:highlight w:val="none"/>
          <w:u w:val="single"/>
          <w:lang w:val="en-US" w:eastAsia="zh-CN"/>
        </w:rPr>
        <w:t>报价须为整数报价，否则作无效报价处理。如</w:t>
      </w:r>
      <w:r>
        <w:rPr>
          <w:rFonts w:hint="eastAsia" w:ascii="Arial" w:hAnsi="Arial" w:cs="Arial"/>
          <w:b/>
          <w:bCs/>
          <w:color w:val="FF0000"/>
          <w:sz w:val="24"/>
          <w:szCs w:val="24"/>
          <w:highlight w:val="none"/>
          <w:u w:val="single"/>
          <w:lang w:val="en-US" w:eastAsia="zh-CN"/>
        </w:rPr>
        <w:t>95</w:t>
      </w:r>
      <w:r>
        <w:rPr>
          <w:rFonts w:hint="default" w:ascii="Arial" w:hAnsi="Arial" w:cs="Arial"/>
          <w:b/>
          <w:bCs/>
          <w:color w:val="FF0000"/>
          <w:sz w:val="24"/>
          <w:szCs w:val="24"/>
          <w:highlight w:val="none"/>
          <w:u w:val="single"/>
          <w:lang w:val="en-US" w:eastAsia="zh-CN"/>
        </w:rPr>
        <w:t>%、</w:t>
      </w:r>
      <w:r>
        <w:rPr>
          <w:rFonts w:hint="eastAsia" w:ascii="Arial" w:hAnsi="Arial" w:cs="Arial"/>
          <w:b/>
          <w:bCs/>
          <w:color w:val="FF0000"/>
          <w:sz w:val="24"/>
          <w:szCs w:val="24"/>
          <w:highlight w:val="none"/>
          <w:u w:val="single"/>
          <w:lang w:val="en-US" w:eastAsia="zh-CN"/>
        </w:rPr>
        <w:t>90</w:t>
      </w:r>
      <w:r>
        <w:rPr>
          <w:rFonts w:hint="default" w:ascii="Arial" w:hAnsi="Arial" w:cs="Arial"/>
          <w:b/>
          <w:bCs/>
          <w:color w:val="FF0000"/>
          <w:sz w:val="24"/>
          <w:szCs w:val="24"/>
          <w:highlight w:val="none"/>
          <w:u w:val="single"/>
          <w:lang w:val="en-US" w:eastAsia="zh-CN"/>
        </w:rPr>
        <w:t>%、</w:t>
      </w:r>
      <w:r>
        <w:rPr>
          <w:rFonts w:hint="eastAsia" w:ascii="Arial" w:hAnsi="Arial" w:cs="Arial"/>
          <w:b/>
          <w:bCs/>
          <w:color w:val="FF0000"/>
          <w:sz w:val="24"/>
          <w:szCs w:val="24"/>
          <w:highlight w:val="none"/>
          <w:u w:val="single"/>
          <w:lang w:val="en-US" w:eastAsia="zh-CN"/>
        </w:rPr>
        <w:t>85</w:t>
      </w:r>
      <w:r>
        <w:rPr>
          <w:rFonts w:hint="default" w:ascii="Arial" w:hAnsi="Arial" w:cs="Arial"/>
          <w:b/>
          <w:bCs/>
          <w:color w:val="FF0000"/>
          <w:sz w:val="24"/>
          <w:szCs w:val="24"/>
          <w:highlight w:val="none"/>
          <w:u w:val="single"/>
          <w:lang w:val="en-US" w:eastAsia="zh-CN"/>
        </w:rPr>
        <w:t>%为有效报价，</w:t>
      </w:r>
      <w:r>
        <w:rPr>
          <w:rFonts w:hint="eastAsia" w:ascii="Arial" w:hAnsi="Arial" w:cs="Arial"/>
          <w:b/>
          <w:bCs/>
          <w:color w:val="FF0000"/>
          <w:sz w:val="24"/>
          <w:szCs w:val="24"/>
          <w:highlight w:val="none"/>
          <w:u w:val="single"/>
          <w:lang w:val="en-US" w:eastAsia="zh-CN"/>
        </w:rPr>
        <w:t>95</w:t>
      </w:r>
      <w:r>
        <w:rPr>
          <w:rFonts w:hint="default" w:ascii="Arial" w:hAnsi="Arial" w:cs="Arial"/>
          <w:b/>
          <w:bCs/>
          <w:color w:val="FF0000"/>
          <w:sz w:val="24"/>
          <w:szCs w:val="24"/>
          <w:highlight w:val="none"/>
          <w:u w:val="single"/>
          <w:lang w:val="en-US" w:eastAsia="zh-CN"/>
        </w:rPr>
        <w:t>.1%、</w:t>
      </w:r>
      <w:r>
        <w:rPr>
          <w:rFonts w:hint="eastAsia" w:ascii="Arial" w:hAnsi="Arial" w:cs="Arial"/>
          <w:b/>
          <w:bCs/>
          <w:color w:val="FF0000"/>
          <w:sz w:val="24"/>
          <w:szCs w:val="24"/>
          <w:highlight w:val="none"/>
          <w:u w:val="single"/>
          <w:lang w:val="en-US" w:eastAsia="zh-CN"/>
        </w:rPr>
        <w:t>90</w:t>
      </w:r>
      <w:r>
        <w:rPr>
          <w:rFonts w:hint="default" w:ascii="Arial" w:hAnsi="Arial" w:cs="Arial"/>
          <w:b/>
          <w:bCs/>
          <w:color w:val="FF0000"/>
          <w:sz w:val="24"/>
          <w:szCs w:val="24"/>
          <w:highlight w:val="none"/>
          <w:u w:val="single"/>
          <w:lang w:val="en-US" w:eastAsia="zh-CN"/>
        </w:rPr>
        <w:t>.2%、</w:t>
      </w:r>
      <w:r>
        <w:rPr>
          <w:rFonts w:hint="eastAsia" w:ascii="Arial" w:hAnsi="Arial" w:cs="Arial"/>
          <w:b/>
          <w:bCs/>
          <w:color w:val="FF0000"/>
          <w:sz w:val="24"/>
          <w:szCs w:val="24"/>
          <w:highlight w:val="none"/>
          <w:u w:val="single"/>
          <w:lang w:val="en-US" w:eastAsia="zh-CN"/>
        </w:rPr>
        <w:t>85</w:t>
      </w:r>
      <w:r>
        <w:rPr>
          <w:rFonts w:hint="default" w:ascii="Arial" w:hAnsi="Arial" w:cs="Arial"/>
          <w:b/>
          <w:bCs/>
          <w:color w:val="FF0000"/>
          <w:sz w:val="24"/>
          <w:szCs w:val="24"/>
          <w:highlight w:val="none"/>
          <w:u w:val="single"/>
          <w:lang w:val="en-US" w:eastAsia="zh-CN"/>
        </w:rPr>
        <w:t>.22%为无效报价。</w:t>
      </w:r>
    </w:p>
    <w:p w14:paraId="18A50C46">
      <w:pPr>
        <w:spacing w:line="360" w:lineRule="auto"/>
        <w:ind w:firstLine="480"/>
        <w:rPr>
          <w:rFonts w:hint="eastAsia" w:ascii="Times New Roman" w:hAnsi="Times New Roman" w:cs="宋体"/>
          <w:b/>
          <w:bCs/>
          <w:color w:val="auto"/>
          <w:sz w:val="24"/>
          <w:szCs w:val="24"/>
          <w:highlight w:val="none"/>
          <w:u w:val="single"/>
        </w:rPr>
      </w:pPr>
      <w:r>
        <w:rPr>
          <w:rFonts w:hint="eastAsia" w:ascii="Times New Roman" w:hAnsi="Times New Roman" w:cs="宋体"/>
          <w:b/>
          <w:bCs/>
          <w:color w:val="auto"/>
          <w:sz w:val="24"/>
          <w:szCs w:val="24"/>
          <w:highlight w:val="none"/>
          <w:u w:val="single"/>
        </w:rPr>
        <w:t>折扣报价基准：核与辐射建设项目环评技术</w:t>
      </w:r>
      <w:r>
        <w:rPr>
          <w:rFonts w:hint="eastAsia" w:ascii="Times New Roman" w:hAnsi="Times New Roman" w:cs="宋体"/>
          <w:b/>
          <w:bCs/>
          <w:color w:val="auto"/>
          <w:sz w:val="24"/>
          <w:szCs w:val="24"/>
          <w:highlight w:val="none"/>
          <w:u w:val="single"/>
          <w:lang w:val="en-US" w:eastAsia="zh-CN"/>
        </w:rPr>
        <w:t>评估</w:t>
      </w:r>
      <w:r>
        <w:rPr>
          <w:rFonts w:hint="eastAsia" w:ascii="Times New Roman" w:hAnsi="Times New Roman" w:cs="宋体"/>
          <w:b/>
          <w:bCs/>
          <w:color w:val="auto"/>
          <w:sz w:val="24"/>
          <w:szCs w:val="24"/>
          <w:highlight w:val="none"/>
          <w:u w:val="single"/>
        </w:rPr>
        <w:t>函审费用4000元/项目，会议评审费用8000元/项目。</w:t>
      </w:r>
    </w:p>
    <w:p w14:paraId="5A657A66">
      <w:pPr>
        <w:spacing w:line="360" w:lineRule="auto"/>
        <w:ind w:firstLine="480"/>
        <w:rPr>
          <w:rFonts w:hint="eastAsia" w:ascii="Arial" w:hAnsi="Arial" w:cs="Arial"/>
          <w:b/>
          <w:bCs/>
          <w:color w:val="auto"/>
          <w:sz w:val="24"/>
          <w:szCs w:val="24"/>
          <w:highlight w:val="none"/>
          <w:u w:val="single"/>
          <w:lang w:val="en-US" w:eastAsia="zh-CN"/>
        </w:rPr>
      </w:pPr>
      <w:r>
        <w:rPr>
          <w:rFonts w:hint="eastAsia" w:ascii="Times New Roman" w:hAnsi="Times New Roman" w:cs="宋体"/>
          <w:b/>
          <w:bCs/>
          <w:color w:val="auto"/>
          <w:sz w:val="24"/>
          <w:szCs w:val="24"/>
          <w:highlight w:val="none"/>
          <w:u w:val="single"/>
          <w:lang w:val="en-US" w:eastAsia="zh-CN"/>
        </w:rPr>
        <w:t>报价示例：如供应商最终响应折扣报价为85%，则</w:t>
      </w:r>
      <w:r>
        <w:rPr>
          <w:rFonts w:hint="eastAsia" w:ascii="Times New Roman" w:hAnsi="Times New Roman" w:cs="宋体"/>
          <w:b/>
          <w:bCs/>
          <w:color w:val="auto"/>
          <w:sz w:val="24"/>
          <w:szCs w:val="24"/>
          <w:highlight w:val="none"/>
          <w:u w:val="single"/>
        </w:rPr>
        <w:t>核与辐射建设项目环评技术</w:t>
      </w:r>
      <w:r>
        <w:rPr>
          <w:rFonts w:hint="eastAsia" w:ascii="Times New Roman" w:hAnsi="Times New Roman" w:cs="宋体"/>
          <w:b/>
          <w:bCs/>
          <w:color w:val="auto"/>
          <w:sz w:val="24"/>
          <w:szCs w:val="24"/>
          <w:highlight w:val="none"/>
          <w:u w:val="single"/>
          <w:lang w:val="en-US" w:eastAsia="zh-CN"/>
        </w:rPr>
        <w:t>评估</w:t>
      </w:r>
      <w:r>
        <w:rPr>
          <w:rFonts w:hint="eastAsia" w:ascii="Times New Roman" w:hAnsi="Times New Roman" w:cs="宋体"/>
          <w:b/>
          <w:bCs/>
          <w:color w:val="auto"/>
          <w:sz w:val="24"/>
          <w:szCs w:val="24"/>
          <w:highlight w:val="none"/>
          <w:u w:val="single"/>
        </w:rPr>
        <w:t>函审费用</w:t>
      </w:r>
      <w:r>
        <w:rPr>
          <w:rFonts w:hint="eastAsia" w:ascii="Times New Roman" w:hAnsi="Times New Roman" w:cs="宋体"/>
          <w:b/>
          <w:bCs/>
          <w:color w:val="auto"/>
          <w:sz w:val="24"/>
          <w:szCs w:val="24"/>
          <w:highlight w:val="none"/>
          <w:u w:val="single"/>
          <w:lang w:val="en-US" w:eastAsia="zh-CN"/>
        </w:rPr>
        <w:t>单个项目结算价=4000元</w:t>
      </w:r>
      <w:r>
        <w:rPr>
          <w:rFonts w:hint="default" w:ascii="Arial" w:hAnsi="Arial" w:cs="Arial"/>
          <w:b/>
          <w:bCs/>
          <w:color w:val="auto"/>
          <w:sz w:val="24"/>
          <w:szCs w:val="24"/>
          <w:highlight w:val="none"/>
          <w:u w:val="single"/>
          <w:lang w:val="en-US" w:eastAsia="zh-CN"/>
        </w:rPr>
        <w:t>×</w:t>
      </w:r>
      <w:r>
        <w:rPr>
          <w:rFonts w:hint="eastAsia" w:ascii="Arial" w:hAnsi="Arial" w:cs="Arial"/>
          <w:b/>
          <w:bCs/>
          <w:color w:val="auto"/>
          <w:sz w:val="24"/>
          <w:szCs w:val="24"/>
          <w:highlight w:val="none"/>
          <w:u w:val="single"/>
          <w:lang w:val="en-US" w:eastAsia="zh-CN"/>
        </w:rPr>
        <w:t>85%=3400元。</w:t>
      </w:r>
    </w:p>
    <w:p w14:paraId="0215753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2.满足磋商文件要求且最后报价</w:t>
      </w:r>
      <w:r>
        <w:rPr>
          <w:rFonts w:hint="eastAsia" w:ascii="Times New Roman" w:hAnsi="Times New Roman" w:cs="宋体"/>
          <w:color w:val="000000" w:themeColor="text1"/>
          <w:sz w:val="24"/>
          <w:szCs w:val="24"/>
          <w:lang w:val="en-US" w:eastAsia="zh-CN"/>
          <w14:textFill>
            <w14:solidFill>
              <w14:schemeClr w14:val="tx1"/>
            </w14:solidFill>
          </w14:textFill>
        </w:rPr>
        <w:t>折扣</w:t>
      </w:r>
      <w:r>
        <w:rPr>
          <w:rFonts w:hint="eastAsia" w:ascii="Times New Roman" w:hAnsi="Times New Roman" w:cs="宋体"/>
          <w:color w:val="000000" w:themeColor="text1"/>
          <w:sz w:val="24"/>
          <w:szCs w:val="24"/>
          <w14:textFill>
            <w14:solidFill>
              <w14:schemeClr w14:val="tx1"/>
            </w14:solidFill>
          </w14:textFill>
        </w:rPr>
        <w:t>最低的供应商的价格为磋商基准价，其报价分为满分。其他供应商的商务报价分统一按照下列公式计算：</w:t>
      </w:r>
    </w:p>
    <w:p w14:paraId="0C3DC659">
      <w:pPr>
        <w:spacing w:line="360" w:lineRule="auto"/>
        <w:ind w:firstLine="482"/>
        <w:rPr>
          <w:rFonts w:ascii="Times New Roman" w:hAnsi="Times New Roman" w:cs="宋体"/>
          <w:b/>
          <w:color w:val="000000" w:themeColor="text1"/>
          <w:sz w:val="24"/>
          <w:szCs w:val="24"/>
          <w14:textFill>
            <w14:solidFill>
              <w14:schemeClr w14:val="tx1"/>
            </w14:solidFill>
          </w14:textFill>
        </w:rPr>
      </w:pPr>
      <w:r>
        <w:rPr>
          <w:rFonts w:hint="eastAsia" w:ascii="Times New Roman" w:hAnsi="Times New Roman" w:cs="宋体"/>
          <w:b/>
          <w:color w:val="000000" w:themeColor="text1"/>
          <w:sz w:val="24"/>
          <w:szCs w:val="24"/>
          <w14:textFill>
            <w14:solidFill>
              <w14:schemeClr w14:val="tx1"/>
            </w14:solidFill>
          </w14:textFill>
        </w:rPr>
        <w:t>报价分=（磋商基准价/最后磋商报价）×</w:t>
      </w:r>
      <w:r>
        <w:rPr>
          <w:rFonts w:hint="eastAsia" w:ascii="Times New Roman" w:hAnsi="Times New Roman" w:cs="宋体"/>
          <w:b/>
          <w:color w:val="000000" w:themeColor="text1"/>
          <w:sz w:val="24"/>
          <w:szCs w:val="24"/>
          <w:lang w:val="en-US" w:eastAsia="zh-CN"/>
          <w14:textFill>
            <w14:solidFill>
              <w14:schemeClr w14:val="tx1"/>
            </w14:solidFill>
          </w14:textFill>
        </w:rPr>
        <w:t>3</w:t>
      </w:r>
      <w:r>
        <w:rPr>
          <w:rFonts w:hint="eastAsia" w:ascii="Times New Roman" w:hAnsi="Times New Roman" w:cs="宋体"/>
          <w:b/>
          <w:color w:val="000000" w:themeColor="text1"/>
          <w:sz w:val="24"/>
          <w:szCs w:val="24"/>
          <w14:textFill>
            <w14:solidFill>
              <w14:schemeClr w14:val="tx1"/>
            </w14:solidFill>
          </w14:textFill>
        </w:rPr>
        <w:t>0%×100</w:t>
      </w:r>
    </w:p>
    <w:p w14:paraId="38EF0D3E">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（小数点保留两位，小数点第三位四舍五入计取）</w:t>
      </w:r>
    </w:p>
    <w:p w14:paraId="21EB9D9A">
      <w:pPr>
        <w:pStyle w:val="54"/>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总得分</w:t>
      </w:r>
      <w:r>
        <w:rPr>
          <w:rFonts w:hint="eastAsia" w:ascii="Times New Roman" w:hAnsi="Times New Roman" w:cs="宋体"/>
          <w:b/>
          <w:color w:val="000000" w:themeColor="text1"/>
          <w:szCs w:val="24"/>
          <w:lang w:eastAsia="zh-CN"/>
          <w14:textFill>
            <w14:solidFill>
              <w14:schemeClr w14:val="tx1"/>
            </w14:solidFill>
          </w14:textFill>
        </w:rPr>
        <w:t>=商务技术分+报价分， 总得分最高者推荐为第一成交候选人。</w:t>
      </w:r>
    </w:p>
    <w:p w14:paraId="42681710">
      <w:pPr>
        <w:pStyle w:val="54"/>
        <w:widowControl/>
        <w:shd w:val="clear" w:color="auto" w:fill="FFFFFF"/>
        <w:spacing w:before="0" w:beforeAutospacing="0" w:after="0" w:afterAutospacing="0" w:line="360" w:lineRule="auto"/>
        <w:ind w:firstLine="482"/>
        <w:jc w:val="both"/>
        <w:rPr>
          <w:rFonts w:ascii="Times New Roman" w:hAnsi="Times New Roman" w:cs="宋体"/>
          <w:b/>
          <w:color w:val="000000" w:themeColor="text1"/>
          <w:szCs w:val="24"/>
          <w:lang w:eastAsia="zh-CN"/>
          <w14:textFill>
            <w14:solidFill>
              <w14:schemeClr w14:val="tx1"/>
            </w14:solidFill>
          </w14:textFill>
        </w:rPr>
      </w:pPr>
      <w:r>
        <w:rPr>
          <w:rFonts w:hint="eastAsia" w:ascii="Times New Roman" w:hAnsi="Times New Roman" w:cs="宋体"/>
          <w:b/>
          <w:color w:val="000000" w:themeColor="text1"/>
          <w:szCs w:val="24"/>
          <w:lang w:eastAsia="zh-CN"/>
          <w14:textFill>
            <w14:solidFill>
              <w14:schemeClr w14:val="tx1"/>
            </w14:solidFill>
          </w14:textFill>
        </w:rPr>
        <w:t xml:space="preserve"> 五、政府采购政策功能落实</w:t>
      </w:r>
    </w:p>
    <w:p w14:paraId="1683EB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小微型企业价格扣除</w:t>
      </w:r>
    </w:p>
    <w:p w14:paraId="029B3B46">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（1）本项目对小型和微型企业产品给予10%的扣除价格，用扣除后的价格参与评审。</w:t>
      </w:r>
    </w:p>
    <w:p w14:paraId="43CC7DB3">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（2）供应商需按照采购文件的要求提供相应的《中小企业声明函》。</w:t>
      </w:r>
    </w:p>
    <w:p w14:paraId="1B6288F3">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（3）企业标准请参照《关于印发中小企业划型标准规定的通知》（工信部联企业</w:t>
      </w:r>
      <w:r>
        <w:rPr>
          <w:rFonts w:hint="eastAsia" w:ascii="宋体" w:hAnsi="宋体" w:eastAsia="宋体" w:cs="宋体"/>
          <w:sz w:val="24"/>
          <w:szCs w:val="24"/>
          <w:lang w:eastAsia="zh-CN"/>
        </w:rPr>
        <w:t>〔2011〕300号</w:t>
      </w:r>
      <w:r>
        <w:rPr>
          <w:rFonts w:hint="eastAsia" w:ascii="宋体" w:hAnsi="宋体" w:eastAsia="宋体" w:cs="宋体"/>
          <w:sz w:val="24"/>
          <w:szCs w:val="24"/>
        </w:rPr>
        <w:t>）文件规定自行填写。</w:t>
      </w:r>
    </w:p>
    <w:p w14:paraId="70E6246E">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残疾人福利单位价格扣除</w:t>
      </w:r>
    </w:p>
    <w:p w14:paraId="48D99FCF">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（1）本项目对残疾人福利性单位视同小型、微型企业，给予10%的价格扣除，用扣除后的价格参与评审。</w:t>
      </w:r>
    </w:p>
    <w:p w14:paraId="59054B76">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（2）残疾人福利单位需按照采购文件的要求提供《残疾人福利性单位声明函》。</w:t>
      </w:r>
    </w:p>
    <w:p w14:paraId="4699C225">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（3）残疾人福利单位标准请参照《关于促进残疾人就业政府采购政策的通知》（财库〔2017〕141号）。</w:t>
      </w:r>
    </w:p>
    <w:p w14:paraId="4B9F3692">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监狱和戒毒企业价格扣除</w:t>
      </w:r>
    </w:p>
    <w:p w14:paraId="51BEA216">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（1）本项目对监狱和戒毒企业（简称监狱企业）视同小型、微型企业，给予10%的价格扣除，用扣除后的价格参与评审。</w:t>
      </w:r>
    </w:p>
    <w:p w14:paraId="6CBA6FEB">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（2）监狱企业参加政府采购活动时，需提供由省级以上监狱管理局、戒毒管理局</w:t>
      </w:r>
      <w:r>
        <w:rPr>
          <w:rFonts w:hint="eastAsia" w:ascii="宋体" w:hAnsi="宋体" w:eastAsia="宋体" w:cs="宋体"/>
          <w:sz w:val="24"/>
          <w:szCs w:val="24"/>
          <w:lang w:eastAsia="zh-CN"/>
        </w:rPr>
        <w:t>（</w:t>
      </w:r>
      <w:r>
        <w:rPr>
          <w:rFonts w:hint="eastAsia" w:ascii="宋体" w:hAnsi="宋体" w:eastAsia="宋体" w:cs="宋体"/>
          <w:sz w:val="24"/>
          <w:szCs w:val="24"/>
        </w:rPr>
        <w:t>含新疆生产建设兵团</w:t>
      </w:r>
      <w:r>
        <w:rPr>
          <w:rFonts w:hint="eastAsia" w:ascii="宋体" w:hAnsi="宋体" w:eastAsia="宋体" w:cs="宋体"/>
          <w:sz w:val="24"/>
          <w:szCs w:val="24"/>
          <w:lang w:eastAsia="zh-CN"/>
        </w:rPr>
        <w:t>）</w:t>
      </w:r>
      <w:r>
        <w:rPr>
          <w:rFonts w:hint="eastAsia" w:ascii="宋体" w:hAnsi="宋体" w:eastAsia="宋体" w:cs="宋体"/>
          <w:sz w:val="24"/>
          <w:szCs w:val="24"/>
        </w:rPr>
        <w:t>出具的属于监狱企业的证明文件。供应商如不提供上述证明文件，价格将不做相应扣除。</w:t>
      </w:r>
    </w:p>
    <w:p w14:paraId="2663F3FE">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（3）监狱企业标准请参照《关于政府采购支持监狱企业发展有关问题的通知》（财库</w:t>
      </w:r>
      <w:r>
        <w:rPr>
          <w:rFonts w:hint="eastAsia" w:ascii="宋体" w:hAnsi="宋体" w:eastAsia="宋体" w:cs="宋体"/>
          <w:sz w:val="24"/>
          <w:szCs w:val="24"/>
          <w:lang w:eastAsia="zh-CN"/>
        </w:rPr>
        <w:t>〔2014〕68号</w:t>
      </w:r>
      <w:r>
        <w:rPr>
          <w:rFonts w:hint="eastAsia" w:ascii="宋体" w:hAnsi="宋体" w:eastAsia="宋体" w:cs="宋体"/>
          <w:sz w:val="24"/>
          <w:szCs w:val="24"/>
        </w:rPr>
        <w:t>）。</w:t>
      </w:r>
    </w:p>
    <w:p w14:paraId="7491D3FA">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残疾人福利单位、监狱企业属于小型、微型企业的，不重复享受政策。</w:t>
      </w:r>
    </w:p>
    <w:p w14:paraId="7AF08D93">
      <w:pPr>
        <w:pageBreakBefore w:val="0"/>
        <w:widowControl/>
        <w:shd w:val="clear" w:color="auto" w:fill="FFFFFF"/>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如本项目同意联合体</w:t>
      </w:r>
      <w:r>
        <w:rPr>
          <w:rFonts w:hint="eastAsia" w:ascii="宋体" w:hAnsi="宋体" w:eastAsia="宋体" w:cs="宋体"/>
          <w:sz w:val="24"/>
          <w:szCs w:val="24"/>
          <w:lang w:val="en-US" w:eastAsia="zh-CN"/>
        </w:rPr>
        <w:t>响应</w:t>
      </w:r>
      <w:r>
        <w:rPr>
          <w:rFonts w:hint="eastAsia" w:ascii="宋体" w:hAnsi="宋体" w:eastAsia="宋体" w:cs="宋体"/>
          <w:sz w:val="24"/>
          <w:szCs w:val="24"/>
        </w:rPr>
        <w:t>或同意分包履行合同的</w:t>
      </w:r>
      <w:r>
        <w:rPr>
          <w:rFonts w:hint="eastAsia" w:ascii="宋体" w:hAnsi="宋体" w:eastAsia="宋体" w:cs="宋体"/>
          <w:sz w:val="24"/>
          <w:szCs w:val="24"/>
          <w:lang w:eastAsia="zh-CN"/>
        </w:rPr>
        <w:t>，</w:t>
      </w:r>
      <w:r>
        <w:rPr>
          <w:rFonts w:hint="eastAsia" w:ascii="宋体" w:hAnsi="宋体" w:eastAsia="宋体" w:cs="宋体"/>
          <w:sz w:val="24"/>
          <w:szCs w:val="24"/>
        </w:rPr>
        <w:t>大中型企业与小微型企业（残疾人福利单位、监狱企业）组成联合体或者大中型企业向一家或多家小微型企业分包，联合协议或者分包意向协议中约定小微型企业（残疾人福利单位、监狱企业）的合同份额占到合同总金额30%以上的，给予联合体或者大中型企业6%的价格扣除，用扣除后的价格参与评审。</w:t>
      </w:r>
    </w:p>
    <w:p w14:paraId="53B305DC">
      <w:pPr>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联合体各方均为小型、微型企业（残疾人福利单位、监狱企业）的，联合体享受10%价格扣除，用扣除后的价格参与评审。</w:t>
      </w:r>
    </w:p>
    <w:p w14:paraId="4596E30B">
      <w:pPr>
        <w:snapToGrid w:val="0"/>
        <w:spacing w:line="360" w:lineRule="auto"/>
        <w:ind w:firstLine="482" w:firstLineChars="200"/>
        <w:rPr>
          <w:rFonts w:hint="eastAsia" w:ascii="宋体" w:hAnsi="宋体"/>
          <w:b/>
          <w:sz w:val="24"/>
          <w:szCs w:val="24"/>
        </w:rPr>
      </w:pPr>
      <w:r>
        <w:rPr>
          <w:rFonts w:hint="eastAsia" w:ascii="宋体" w:hAnsi="宋体"/>
          <w:b/>
          <w:sz w:val="24"/>
          <w:szCs w:val="24"/>
        </w:rPr>
        <w:t>六、出现下列情形之一的，磋商小组应当启动异常低价投标审查程序：</w:t>
      </w:r>
    </w:p>
    <w:p w14:paraId="17CC4A5E">
      <w:pPr>
        <w:pStyle w:val="54"/>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1.响应报价低于全部通过符合性审查供应商响应报价平均值50%的，即响应报价&lt;全部通过符合性审查供应商响应报价平均值×50%；</w:t>
      </w:r>
    </w:p>
    <w:p w14:paraId="3DA235CF">
      <w:pPr>
        <w:pStyle w:val="54"/>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2.响应报价低于通过符合性审查的次低报价供应商响应报价50%的，即响应报价&lt;通过符合性审查的次低报价供应商响应报价×50%；</w:t>
      </w:r>
    </w:p>
    <w:p w14:paraId="1A962AC8">
      <w:pPr>
        <w:pStyle w:val="54"/>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3.响应报价低于采购项目最高限价45%的，即响应报价&lt;采购项目最高限价×45%；</w:t>
      </w:r>
    </w:p>
    <w:p w14:paraId="57EE7B4C">
      <w:pPr>
        <w:pStyle w:val="54"/>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4.磋商小组基于专业判断，认为供应商报价过低，有可能影响产品质量或者不能诚信履约的其他情形。</w:t>
      </w:r>
    </w:p>
    <w:p w14:paraId="1FF77B7A">
      <w:pPr>
        <w:pStyle w:val="54"/>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磋商小组应当要求相关供应商在评审现场不少于30分钟时间内对响应价格作出解释，提供项目具体成本测算等与报价合理性相关的书面说明及必要的证明材料，包括但不限于原材料成本、人工成本、制造费用等。</w:t>
      </w:r>
    </w:p>
    <w:p w14:paraId="1BDD5442">
      <w:pPr>
        <w:pStyle w:val="54"/>
        <w:widowControl/>
        <w:shd w:val="clear" w:color="auto" w:fill="FFFFFF"/>
        <w:spacing w:before="0" w:beforeAutospacing="0" w:after="0" w:afterAutospacing="0" w:line="360" w:lineRule="auto"/>
        <w:ind w:firstLine="482"/>
        <w:jc w:val="both"/>
        <w:rPr>
          <w:rFonts w:hint="eastAsia" w:ascii="宋体" w:hAnsi="宋体" w:cs="宋体"/>
          <w:szCs w:val="24"/>
          <w:lang w:eastAsia="zh-CN"/>
        </w:rPr>
      </w:pPr>
      <w:r>
        <w:rPr>
          <w:rFonts w:hint="eastAsia" w:ascii="宋体" w:hAnsi="宋体" w:cs="宋体"/>
          <w:szCs w:val="24"/>
          <w:lang w:eastAsia="zh-CN"/>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6CF1BFBD">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b/>
          <w:bCs/>
          <w:color w:val="000000" w:themeColor="text1"/>
          <w:szCs w:val="24"/>
          <w:lang w:eastAsia="zh-CN"/>
          <w14:textFill>
            <w14:solidFill>
              <w14:schemeClr w14:val="tx1"/>
            </w14:solidFill>
          </w14:textFill>
        </w:rPr>
        <w:t>七、出现下列情形之一的，作无效响应处理</w:t>
      </w:r>
    </w:p>
    <w:p w14:paraId="1155B02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1.响应文件未按规定要求签署、盖章及主要资料不齐全的；</w:t>
      </w:r>
    </w:p>
    <w:p w14:paraId="1F543AD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2.响应文件的资料有虚报或者谎报的；</w:t>
      </w:r>
    </w:p>
    <w:p w14:paraId="7D62F0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3.响应文件中资格审查文件及技术响应文件出现磋商报价的内容；</w:t>
      </w:r>
    </w:p>
    <w:p w14:paraId="57B40B6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4.不具备磋商文件规定的资格要求的；</w:t>
      </w:r>
    </w:p>
    <w:p w14:paraId="3126135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5.响应文件有重大漏项或重大不合理的；</w:t>
      </w:r>
    </w:p>
    <w:p w14:paraId="1CC178F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6.项目技术、方案不满足项目需求中的要求，有重大偏离或保留的；</w:t>
      </w:r>
    </w:p>
    <w:p w14:paraId="4549FBE3">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7.磋商响应报价超出项目预算的；</w:t>
      </w:r>
    </w:p>
    <w:p w14:paraId="425105BC">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8.被认定为低于成本报价磋商竞标的；</w:t>
      </w:r>
    </w:p>
    <w:p w14:paraId="3955E81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9.供应商的磋商报价高于自己前一轮的；</w:t>
      </w:r>
    </w:p>
    <w:p w14:paraId="2FB4CE29">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10.不符合法律、法规和磋商文件中规定的其他实质性响应要求的；</w:t>
      </w:r>
    </w:p>
    <w:p w14:paraId="4655C9A5">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11.磋商小组依据法律法规可以认定为无效响应的其他情况；</w:t>
      </w:r>
    </w:p>
    <w:p w14:paraId="6425951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12.未按要求提供样品的（如有）。</w:t>
      </w:r>
    </w:p>
    <w:p w14:paraId="10D628AB">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八、出现下列情形之一的，</w:t>
      </w:r>
      <w:r>
        <w:rPr>
          <w:rFonts w:hint="eastAsia" w:ascii="Times New Roman" w:hAnsi="Times New Roman" w:cs="宋体"/>
          <w:b/>
          <w:bCs/>
          <w:color w:val="000000" w:themeColor="text1"/>
          <w:szCs w:val="24"/>
          <w:lang w:eastAsia="zh-CN"/>
          <w14:textFill>
            <w14:solidFill>
              <w14:schemeClr w14:val="tx1"/>
            </w14:solidFill>
          </w14:textFill>
        </w:rPr>
        <w:t>作无效</w:t>
      </w:r>
      <w:r>
        <w:rPr>
          <w:rFonts w:hint="eastAsia" w:ascii="Times New Roman" w:hAnsi="Times New Roman" w:cs="宋体"/>
          <w:b/>
          <w:bCs/>
          <w:color w:val="000000" w:themeColor="text1"/>
          <w:szCs w:val="24"/>
          <w:lang w:val="en-US" w:eastAsia="zh-CN"/>
          <w14:textFill>
            <w14:solidFill>
              <w14:schemeClr w14:val="tx1"/>
            </w14:solidFill>
          </w14:textFill>
        </w:rPr>
        <w:t>标</w:t>
      </w: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处理</w:t>
      </w:r>
    </w:p>
    <w:p w14:paraId="02E2E544">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1.供应商的报价均超出了采购预算，采购单位不能支付的；</w:t>
      </w:r>
    </w:p>
    <w:p w14:paraId="55821D92">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7BB548E6">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74BA8EBF">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4.因重大变故，采购任务取消的；</w:t>
      </w:r>
    </w:p>
    <w:p w14:paraId="34032482">
      <w:pPr>
        <w:pStyle w:val="54"/>
        <w:widowControl/>
        <w:shd w:val="clear" w:color="auto" w:fill="FFFFFF"/>
        <w:spacing w:before="0" w:beforeAutospacing="0" w:after="0" w:afterAutospacing="0" w:line="360" w:lineRule="auto"/>
        <w:ind w:firstLine="480"/>
        <w:jc w:val="both"/>
        <w:rPr>
          <w:rFonts w:ascii="Times New Roman" w:hAnsi="Times New Roman" w:cs="宋体"/>
          <w:b/>
          <w:bCs/>
          <w:color w:val="000000" w:themeColor="text1"/>
          <w:szCs w:val="24"/>
          <w:lang w:eastAsia="zh-CN"/>
          <w14:textFill>
            <w14:solidFill>
              <w14:schemeClr w14:val="tx1"/>
            </w14:solidFill>
          </w14:textFill>
        </w:rPr>
      </w:pPr>
      <w:r>
        <w:rPr>
          <w:rFonts w:hint="eastAsia" w:ascii="Times New Roman" w:hAnsi="Times New Roman" w:cs="宋体"/>
          <w:color w:val="000000" w:themeColor="text1"/>
          <w:szCs w:val="24"/>
          <w:lang w:eastAsia="zh-CN"/>
          <w14:textFill>
            <w14:solidFill>
              <w14:schemeClr w14:val="tx1"/>
            </w14:solidFill>
          </w14:textFill>
        </w:rPr>
        <w:t>5.磋商小组依据法律法规可以认定为无效响应的其他情况。</w:t>
      </w:r>
    </w:p>
    <w:p w14:paraId="779C5116">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九、出现下列情形之一的，采购人或采购代理机构应当终止竞争性磋商采购活动，发布项目终止公告并说明原因，重新开展采购活动：</w:t>
      </w:r>
    </w:p>
    <w:p w14:paraId="42DFAC3B">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1.在采购过程中符合要求的供应商或者报价未超过采购预算的供应商不足3家的；</w:t>
      </w:r>
    </w:p>
    <w:p w14:paraId="19DF3B5D">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2.因情况变化，不再符合规定的竞争性磋商采购方式所适用情形的；</w:t>
      </w:r>
    </w:p>
    <w:p w14:paraId="23F50FCA">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3.出现影响采购公正的违法、违规行为的；</w:t>
      </w:r>
    </w:p>
    <w:p w14:paraId="0B6B8A48">
      <w:pPr>
        <w:pStyle w:val="54"/>
        <w:widowControl/>
        <w:shd w:val="clear" w:color="auto" w:fill="FFFFFF"/>
        <w:spacing w:before="0" w:beforeAutospacing="0" w:after="0" w:afterAutospacing="0" w:line="360" w:lineRule="auto"/>
        <w:ind w:firstLine="482"/>
        <w:jc w:val="both"/>
        <w:rPr>
          <w:rFonts w:ascii="Times New Roman" w:hAnsi="Times New Roman" w:cs="宋体"/>
          <w:b/>
          <w:bCs/>
          <w:color w:val="000000" w:themeColor="text1"/>
          <w:szCs w:val="24"/>
          <w:shd w:val="clear" w:color="auto" w:fill="FFFFFF"/>
          <w:lang w:eastAsia="zh-CN"/>
          <w14:textFill>
            <w14:solidFill>
              <w14:schemeClr w14:val="tx1"/>
            </w14:solidFill>
          </w14:textFill>
        </w:rPr>
      </w:pPr>
      <w:r>
        <w:rPr>
          <w:rFonts w:hint="eastAsia" w:ascii="Times New Roman" w:hAnsi="Times New Roman" w:cs="宋体"/>
          <w:b/>
          <w:bCs/>
          <w:color w:val="000000" w:themeColor="text1"/>
          <w:szCs w:val="24"/>
          <w:shd w:val="clear" w:color="auto" w:fill="FFFFFF"/>
          <w:lang w:eastAsia="zh-CN"/>
          <w14:textFill>
            <w14:solidFill>
              <w14:schemeClr w14:val="tx1"/>
            </w14:solidFill>
          </w14:textFill>
        </w:rPr>
        <w:t>十、成交通知</w:t>
      </w:r>
    </w:p>
    <w:p w14:paraId="37A4B417">
      <w:pPr>
        <w:spacing w:line="360" w:lineRule="auto"/>
        <w:ind w:firstLine="480"/>
        <w:rPr>
          <w:rFonts w:ascii="Times New Roman" w:hAnsi="Times New Roman" w:cs="宋体"/>
          <w:color w:val="000000" w:themeColor="text1"/>
          <w:sz w:val="24"/>
          <w:szCs w:val="24"/>
          <w14:textFill>
            <w14:solidFill>
              <w14:schemeClr w14:val="tx1"/>
            </w14:solidFill>
          </w14:textFill>
        </w:rPr>
      </w:pPr>
      <w:r>
        <w:rPr>
          <w:rFonts w:hint="eastAsia" w:ascii="Times New Roman" w:hAnsi="Times New Roman" w:cs="宋体"/>
          <w:color w:val="000000" w:themeColor="text1"/>
          <w:sz w:val="24"/>
          <w:szCs w:val="24"/>
          <w14:textFill>
            <w14:solidFill>
              <w14:schemeClr w14:val="tx1"/>
            </w14:solidFill>
          </w14:textFill>
        </w:rPr>
        <w:t>成交结果在南通市生态环境局官网公告公示栏公告</w:t>
      </w:r>
      <w:r>
        <w:rPr>
          <w:rFonts w:hint="eastAsia" w:ascii="Times New Roman" w:hAnsi="Times New Roman" w:cs="宋体"/>
          <w:b/>
          <w:color w:val="000000" w:themeColor="text1"/>
          <w:sz w:val="24"/>
          <w:szCs w:val="24"/>
          <w:u w:val="single"/>
          <w14:textFill>
            <w14:solidFill>
              <w14:schemeClr w14:val="tx1"/>
            </w14:solidFill>
          </w14:textFill>
        </w:rPr>
        <w:t>1</w:t>
      </w:r>
      <w:r>
        <w:rPr>
          <w:rFonts w:hint="eastAsia" w:ascii="Times New Roman" w:hAnsi="Times New Roman" w:cs="宋体"/>
          <w:color w:val="000000" w:themeColor="text1"/>
          <w:sz w:val="24"/>
          <w:szCs w:val="24"/>
          <w14:textFill>
            <w14:solidFill>
              <w14:schemeClr w14:val="tx1"/>
            </w14:solidFill>
          </w14:textFill>
        </w:rPr>
        <w:t>个工作日。《成交通知书》一经发出，采购单位改变成交结果，或者成交人放弃成交的，各自承担相应的法律责任。《成交通知书》是采购合同的组成部分。</w:t>
      </w:r>
    </w:p>
    <w:p w14:paraId="5FBB8C62">
      <w:pPr>
        <w:spacing w:line="360" w:lineRule="auto"/>
        <w:ind w:firstLine="480"/>
        <w:rPr>
          <w:rFonts w:ascii="Times New Roman" w:hAnsi="Times New Roman" w:cs="宋体"/>
          <w:b/>
          <w:bCs/>
          <w:color w:val="000000" w:themeColor="text1"/>
          <w:sz w:val="24"/>
          <w:szCs w:val="24"/>
          <w:shd w:val="clear" w:color="auto" w:fill="FFFFFF"/>
          <w14:textFill>
            <w14:solidFill>
              <w14:schemeClr w14:val="tx1"/>
            </w14:solidFill>
          </w14:textFill>
        </w:rPr>
      </w:pPr>
      <w:r>
        <w:rPr>
          <w:rFonts w:hint="eastAsia" w:ascii="Times New Roman" w:hAnsi="Times New Roman" w:cs="宋体"/>
          <w:b/>
          <w:bCs/>
          <w:color w:val="000000" w:themeColor="text1"/>
          <w:sz w:val="24"/>
          <w:szCs w:val="24"/>
          <w:shd w:val="clear" w:color="auto" w:fill="FFFFFF"/>
          <w14:textFill>
            <w14:solidFill>
              <w14:schemeClr w14:val="tx1"/>
            </w14:solidFill>
          </w14:textFill>
        </w:rPr>
        <w:t>十一、特殊情况的约定</w:t>
      </w:r>
    </w:p>
    <w:p w14:paraId="53904011">
      <w:pPr>
        <w:spacing w:line="360" w:lineRule="auto"/>
        <w:ind w:firstLine="480"/>
        <w:jc w:val="left"/>
        <w:rPr>
          <w:rFonts w:ascii="Times New Roman" w:hAnsi="Times New Roman" w:cs="宋体"/>
          <w:color w:val="000000" w:themeColor="text1"/>
          <w:sz w:val="24"/>
          <w:szCs w:val="24"/>
          <w14:textFill>
            <w14:solidFill>
              <w14:schemeClr w14:val="tx1"/>
            </w14:solidFill>
          </w14:textFill>
        </w:rPr>
        <w:sectPr>
          <w:headerReference r:id="rId4" w:type="first"/>
          <w:footerReference r:id="rId6" w:type="first"/>
          <w:headerReference r:id="rId3" w:type="default"/>
          <w:footerReference r:id="rId5" w:type="default"/>
          <w:pgSz w:w="11906" w:h="16838"/>
          <w:pgMar w:top="1440" w:right="1133" w:bottom="1440" w:left="1080" w:header="851" w:footer="992" w:gutter="0"/>
          <w:cols w:space="720" w:num="1"/>
          <w:titlePg/>
          <w:docGrid w:linePitch="360" w:charSpace="0"/>
        </w:sectPr>
      </w:pPr>
      <w:r>
        <w:rPr>
          <w:rFonts w:hint="eastAsia" w:ascii="Times New Roman" w:hAnsi="Times New Roman" w:cs="宋体"/>
          <w:color w:val="000000" w:themeColor="text1"/>
          <w:sz w:val="24"/>
          <w:szCs w:val="24"/>
          <w14:textFill>
            <w14:solidFill>
              <w14:schemeClr w14:val="tx1"/>
            </w14:solidFill>
          </w14:textFill>
        </w:rPr>
        <w:t>本项目第一成交候选人原则上为成交人。当排名第一的成交候选人放弃成交、因不可抗力不能履行合同，或者被查实存在影响成交结果的违法行为等情形，不符合成交条件的，采购人可以按照磋商小组提出的成交候选人名单排序依次确定其他成交候选人为成交人，也可以重新采购。</w:t>
      </w:r>
    </w:p>
    <w:p w14:paraId="449D9838">
      <w:pPr>
        <w:spacing w:line="360" w:lineRule="auto"/>
        <w:ind w:firstLine="480"/>
        <w:jc w:val="center"/>
        <w:outlineLvl w:val="0"/>
        <w:rPr>
          <w:rFonts w:ascii="Times New Roman" w:hAnsi="Times New Roman"/>
          <w:b/>
          <w:color w:val="000000" w:themeColor="text1"/>
          <w:sz w:val="44"/>
          <w:szCs w:val="44"/>
          <w14:textFill>
            <w14:solidFill>
              <w14:schemeClr w14:val="tx1"/>
            </w14:solidFill>
          </w14:textFill>
        </w:rPr>
      </w:pPr>
      <w:r>
        <w:rPr>
          <w:rFonts w:ascii="Times New Roman" w:hAnsi="Times New Roman" w:cs="宋体"/>
          <w:b/>
          <w:iCs/>
          <w:color w:val="000000" w:themeColor="text1"/>
          <w:sz w:val="44"/>
          <w:szCs w:val="44"/>
          <w14:textFill>
            <w14:solidFill>
              <w14:schemeClr w14:val="tx1"/>
            </w14:solidFill>
          </w14:textFill>
        </w:rPr>
        <w:t>第</w:t>
      </w:r>
      <w:r>
        <w:rPr>
          <w:rFonts w:hint="eastAsia" w:ascii="Times New Roman" w:hAnsi="Times New Roman" w:cs="宋体"/>
          <w:b/>
          <w:iCs/>
          <w:color w:val="000000" w:themeColor="text1"/>
          <w:sz w:val="44"/>
          <w:szCs w:val="44"/>
          <w14:textFill>
            <w14:solidFill>
              <w14:schemeClr w14:val="tx1"/>
            </w14:solidFill>
          </w14:textFill>
        </w:rPr>
        <w:t>五</w:t>
      </w:r>
      <w:r>
        <w:rPr>
          <w:rFonts w:ascii="Times New Roman" w:hAnsi="Times New Roman" w:cs="宋体"/>
          <w:b/>
          <w:iCs/>
          <w:color w:val="000000" w:themeColor="text1"/>
          <w:sz w:val="44"/>
          <w:szCs w:val="44"/>
          <w14:textFill>
            <w14:solidFill>
              <w14:schemeClr w14:val="tx1"/>
            </w14:solidFill>
          </w14:textFill>
        </w:rPr>
        <w:t>章</w:t>
      </w:r>
      <w:r>
        <w:rPr>
          <w:rFonts w:hint="eastAsia" w:ascii="Times New Roman" w:hAnsi="Times New Roman" w:cs="宋体"/>
          <w:b/>
          <w:iCs/>
          <w:color w:val="000000" w:themeColor="text1"/>
          <w:sz w:val="44"/>
          <w:szCs w:val="44"/>
          <w14:textFill>
            <w14:solidFill>
              <w14:schemeClr w14:val="tx1"/>
            </w14:solidFill>
          </w14:textFill>
        </w:rPr>
        <w:t xml:space="preserve"> </w:t>
      </w:r>
      <w:r>
        <w:rPr>
          <w:rFonts w:hint="eastAsia" w:ascii="Times New Roman" w:hAnsi="Times New Roman"/>
          <w:b/>
          <w:color w:val="000000" w:themeColor="text1"/>
          <w:sz w:val="44"/>
          <w:szCs w:val="44"/>
          <w14:textFill>
            <w14:solidFill>
              <w14:schemeClr w14:val="tx1"/>
            </w14:solidFill>
          </w14:textFill>
        </w:rPr>
        <w:t>合同主要条款</w:t>
      </w:r>
    </w:p>
    <w:p w14:paraId="0B8D730C">
      <w:pPr>
        <w:snapToGrid w:val="0"/>
        <w:spacing w:line="360" w:lineRule="auto"/>
        <w:ind w:firstLine="480" w:firstLineChars="200"/>
        <w:rPr>
          <w:rFonts w:hint="eastAsia" w:ascii="宋体" w:hAnsi="宋体" w:cs="宋体"/>
          <w:sz w:val="24"/>
          <w:szCs w:val="24"/>
        </w:rPr>
      </w:pPr>
      <w:bookmarkStart w:id="9" w:name="_Hlk132878942"/>
    </w:p>
    <w:p w14:paraId="4614C440">
      <w:pPr>
        <w:snapToGrid w:val="0"/>
        <w:spacing w:line="360" w:lineRule="auto"/>
        <w:ind w:firstLine="480" w:firstLineChars="200"/>
        <w:rPr>
          <w:rFonts w:hint="eastAsia" w:ascii="宋体" w:hAnsi="宋体" w:cs="宋体"/>
          <w:sz w:val="24"/>
          <w:szCs w:val="24"/>
        </w:rPr>
      </w:pPr>
    </w:p>
    <w:p w14:paraId="2E0B60AC">
      <w:pPr>
        <w:snapToGrid w:val="0"/>
        <w:spacing w:line="360" w:lineRule="auto"/>
        <w:ind w:firstLine="480" w:firstLineChars="200"/>
        <w:rPr>
          <w:rFonts w:hint="eastAsia" w:ascii="宋体" w:hAnsi="宋体" w:cs="宋体"/>
          <w:sz w:val="24"/>
          <w:szCs w:val="24"/>
        </w:rPr>
      </w:pPr>
    </w:p>
    <w:p w14:paraId="57A81B1A">
      <w:pPr>
        <w:snapToGrid w:val="0"/>
        <w:spacing w:line="360" w:lineRule="auto"/>
        <w:ind w:firstLine="480" w:firstLineChars="200"/>
        <w:rPr>
          <w:rFonts w:hint="eastAsia" w:ascii="宋体" w:hAnsi="宋体" w:cs="宋体"/>
          <w:sz w:val="24"/>
          <w:szCs w:val="24"/>
        </w:rPr>
      </w:pPr>
    </w:p>
    <w:p w14:paraId="17FB65C8">
      <w:pPr>
        <w:snapToGrid w:val="0"/>
        <w:spacing w:line="360" w:lineRule="auto"/>
        <w:ind w:firstLine="883" w:firstLineChars="200"/>
        <w:jc w:val="center"/>
        <w:rPr>
          <w:rFonts w:hint="eastAsia" w:ascii="宋体" w:hAnsi="宋体" w:cs="宋体"/>
          <w:sz w:val="44"/>
          <w:szCs w:val="44"/>
        </w:rPr>
      </w:pPr>
      <w:r>
        <w:rPr>
          <w:rFonts w:hint="eastAsia" w:ascii="宋体" w:hAnsi="宋体" w:cs="宋体"/>
          <w:b/>
          <w:bCs/>
          <w:sz w:val="44"/>
          <w:szCs w:val="44"/>
        </w:rPr>
        <w:t>采购合同（服务类）（合同编号）</w:t>
      </w:r>
    </w:p>
    <w:p w14:paraId="3D3E86F8">
      <w:pPr>
        <w:snapToGrid w:val="0"/>
        <w:spacing w:line="360" w:lineRule="auto"/>
        <w:ind w:firstLine="480" w:firstLineChars="200"/>
        <w:rPr>
          <w:rFonts w:hint="eastAsia" w:ascii="宋体" w:hAnsi="宋体" w:cs="宋体"/>
          <w:sz w:val="24"/>
          <w:szCs w:val="24"/>
        </w:rPr>
      </w:pPr>
    </w:p>
    <w:p w14:paraId="68CA4ABA">
      <w:pPr>
        <w:snapToGrid w:val="0"/>
        <w:spacing w:line="360" w:lineRule="auto"/>
        <w:ind w:firstLine="480" w:firstLineChars="200"/>
        <w:rPr>
          <w:rFonts w:hint="eastAsia" w:ascii="宋体" w:hAnsi="宋体" w:cs="宋体"/>
          <w:sz w:val="24"/>
          <w:szCs w:val="24"/>
        </w:rPr>
      </w:pPr>
    </w:p>
    <w:p w14:paraId="3D6795AC">
      <w:pPr>
        <w:snapToGrid w:val="0"/>
        <w:spacing w:line="360" w:lineRule="auto"/>
        <w:ind w:firstLine="480" w:firstLineChars="200"/>
        <w:rPr>
          <w:rFonts w:hint="eastAsia" w:ascii="宋体" w:hAnsi="宋体" w:cs="宋体"/>
          <w:sz w:val="24"/>
          <w:szCs w:val="24"/>
        </w:rPr>
      </w:pPr>
    </w:p>
    <w:p w14:paraId="5312398E">
      <w:pPr>
        <w:snapToGrid w:val="0"/>
        <w:spacing w:line="360" w:lineRule="auto"/>
        <w:ind w:firstLine="480" w:firstLineChars="200"/>
        <w:rPr>
          <w:rFonts w:hint="eastAsia" w:ascii="宋体" w:hAnsi="宋体" w:cs="宋体"/>
          <w:sz w:val="24"/>
          <w:szCs w:val="24"/>
        </w:rPr>
      </w:pPr>
    </w:p>
    <w:p w14:paraId="20BCC2CE">
      <w:pPr>
        <w:snapToGrid w:val="0"/>
        <w:spacing w:line="360" w:lineRule="auto"/>
        <w:ind w:firstLine="480" w:firstLineChars="200"/>
        <w:rPr>
          <w:rFonts w:hint="eastAsia" w:ascii="宋体" w:hAnsi="宋体" w:cs="宋体"/>
          <w:sz w:val="24"/>
          <w:szCs w:val="24"/>
        </w:rPr>
      </w:pPr>
    </w:p>
    <w:p w14:paraId="6D369DEF">
      <w:pPr>
        <w:snapToGrid w:val="0"/>
        <w:spacing w:line="360" w:lineRule="auto"/>
        <w:ind w:firstLine="480" w:firstLineChars="200"/>
        <w:rPr>
          <w:rFonts w:hint="eastAsia" w:ascii="宋体" w:hAnsi="宋体" w:cs="宋体"/>
          <w:sz w:val="24"/>
          <w:szCs w:val="24"/>
        </w:rPr>
      </w:pPr>
    </w:p>
    <w:p w14:paraId="7DB37A4F">
      <w:pPr>
        <w:snapToGrid w:val="0"/>
        <w:spacing w:line="360" w:lineRule="auto"/>
        <w:ind w:firstLine="480" w:firstLineChars="200"/>
        <w:rPr>
          <w:rFonts w:hint="eastAsia" w:ascii="宋体" w:hAnsi="宋体" w:cs="宋体"/>
          <w:sz w:val="24"/>
          <w:szCs w:val="24"/>
        </w:rPr>
      </w:pPr>
    </w:p>
    <w:p w14:paraId="64A1A370">
      <w:pPr>
        <w:snapToGrid w:val="0"/>
        <w:spacing w:line="360" w:lineRule="auto"/>
        <w:rPr>
          <w:rFonts w:hint="eastAsia" w:ascii="宋体" w:hAnsi="宋体" w:cs="宋体"/>
          <w:sz w:val="32"/>
          <w:szCs w:val="32"/>
        </w:rPr>
      </w:pPr>
      <w:r>
        <w:rPr>
          <w:rFonts w:hint="eastAsia" w:ascii="宋体" w:hAnsi="宋体" w:cs="宋体"/>
          <w:sz w:val="32"/>
          <w:szCs w:val="32"/>
        </w:rPr>
        <w:t>项目名称：</w:t>
      </w:r>
      <w:r>
        <w:rPr>
          <w:rFonts w:hint="eastAsia" w:ascii="宋体" w:hAnsi="宋体" w:cs="宋体"/>
          <w:sz w:val="32"/>
          <w:szCs w:val="32"/>
          <w:lang w:val="en-US" w:eastAsia="zh-CN"/>
        </w:rPr>
        <w:t>2026年</w:t>
      </w:r>
      <w:r>
        <w:rPr>
          <w:rFonts w:hint="eastAsia" w:ascii="宋体" w:hAnsi="宋体" w:cs="宋体"/>
          <w:sz w:val="32"/>
          <w:szCs w:val="32"/>
        </w:rPr>
        <w:t>南通市核与辐射建设项目环评文件委托技术评估项目</w:t>
      </w:r>
    </w:p>
    <w:p w14:paraId="5649E511">
      <w:pPr>
        <w:snapToGrid w:val="0"/>
        <w:spacing w:line="360" w:lineRule="auto"/>
        <w:rPr>
          <w:rFonts w:hint="eastAsia" w:ascii="宋体" w:hAnsi="宋体" w:cs="宋体"/>
          <w:sz w:val="32"/>
          <w:szCs w:val="32"/>
        </w:rPr>
      </w:pPr>
      <w:r>
        <w:rPr>
          <w:rFonts w:hint="eastAsia" w:ascii="宋体" w:hAnsi="宋体" w:cs="宋体"/>
          <w:sz w:val="32"/>
          <w:szCs w:val="32"/>
        </w:rPr>
        <w:t>项目编号：</w:t>
      </w:r>
    </w:p>
    <w:p w14:paraId="7A412AAC">
      <w:pPr>
        <w:rPr>
          <w:rFonts w:hint="eastAsia" w:ascii="宋体" w:hAnsi="宋体" w:cs="宋体"/>
          <w:sz w:val="24"/>
          <w:szCs w:val="24"/>
        </w:rPr>
      </w:pPr>
      <w:r>
        <w:rPr>
          <w:rFonts w:hint="eastAsia" w:ascii="宋体" w:hAnsi="宋体" w:cs="宋体"/>
          <w:sz w:val="24"/>
          <w:szCs w:val="24"/>
        </w:rPr>
        <w:br w:type="page"/>
      </w:r>
    </w:p>
    <w:p w14:paraId="2718D32B">
      <w:pPr>
        <w:snapToGrid w:val="0"/>
        <w:spacing w:line="360" w:lineRule="auto"/>
        <w:ind w:firstLine="480" w:firstLineChars="200"/>
        <w:rPr>
          <w:rFonts w:hint="eastAsia" w:ascii="宋体" w:hAnsi="宋体" w:cs="宋体"/>
          <w:sz w:val="24"/>
          <w:szCs w:val="24"/>
        </w:rPr>
      </w:pPr>
    </w:p>
    <w:p w14:paraId="58D5619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甲方：（买方）</w:t>
      </w:r>
      <w:r>
        <w:rPr>
          <w:rFonts w:hint="eastAsia" w:ascii="宋体" w:hAnsi="宋体" w:cs="宋体"/>
          <w:sz w:val="24"/>
          <w:szCs w:val="24"/>
          <w:u w:val="single"/>
        </w:rPr>
        <w:t xml:space="preserve">                        </w:t>
      </w:r>
    </w:p>
    <w:p w14:paraId="653E025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乙方：（卖方）</w:t>
      </w:r>
      <w:r>
        <w:rPr>
          <w:rFonts w:hint="eastAsia" w:ascii="宋体" w:hAnsi="宋体" w:cs="宋体"/>
          <w:sz w:val="24"/>
          <w:szCs w:val="24"/>
          <w:u w:val="single"/>
        </w:rPr>
        <w:t xml:space="preserve">                        </w:t>
      </w:r>
    </w:p>
    <w:p w14:paraId="51E7D13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根据《中华人民共和国民法典（合同编）》、《中华人民共和国政府采购法》等法律法规的规定以及</w:t>
      </w:r>
      <w:r>
        <w:rPr>
          <w:rFonts w:hint="eastAsia" w:ascii="宋体" w:hAnsi="宋体" w:cs="宋体"/>
          <w:sz w:val="24"/>
          <w:szCs w:val="24"/>
          <w:u w:val="single"/>
        </w:rPr>
        <w:t xml:space="preserve">                       </w:t>
      </w:r>
      <w:r>
        <w:rPr>
          <w:rFonts w:hint="eastAsia" w:ascii="宋体" w:hAnsi="宋体" w:cs="宋体"/>
          <w:sz w:val="24"/>
          <w:szCs w:val="24"/>
        </w:rPr>
        <w:t>项目采购结果，甲乙双方遵循平等、自愿、公平、诚实信用的原则，就</w:t>
      </w:r>
      <w:r>
        <w:rPr>
          <w:rFonts w:hint="eastAsia" w:ascii="宋体" w:hAnsi="宋体" w:cs="宋体"/>
          <w:sz w:val="24"/>
          <w:szCs w:val="24"/>
          <w:u w:val="single"/>
        </w:rPr>
        <w:t xml:space="preserve">                       </w:t>
      </w:r>
      <w:r>
        <w:rPr>
          <w:rFonts w:hint="eastAsia" w:ascii="宋体" w:hAnsi="宋体" w:cs="宋体"/>
          <w:sz w:val="24"/>
          <w:szCs w:val="24"/>
        </w:rPr>
        <w:t>项目事宜经双方协商一致，订立本合同。</w:t>
      </w:r>
    </w:p>
    <w:p w14:paraId="7E2A3158">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一、合同内容</w:t>
      </w:r>
    </w:p>
    <w:p w14:paraId="5183F6B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 标的名称：</w:t>
      </w:r>
    </w:p>
    <w:p w14:paraId="5031E6A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1.2标的质量：</w:t>
      </w:r>
    </w:p>
    <w:p w14:paraId="606AE7B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 服务内容及范围（规模）：</w:t>
      </w:r>
    </w:p>
    <w:p w14:paraId="305E994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 履行时间（期限）：</w:t>
      </w:r>
    </w:p>
    <w:p w14:paraId="64D7697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1.5 履行地点：</w:t>
      </w:r>
    </w:p>
    <w:p w14:paraId="11F2240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1.6履行方式：</w:t>
      </w:r>
    </w:p>
    <w:p w14:paraId="33DF8C64">
      <w:pPr>
        <w:snapToGrid w:val="0"/>
        <w:spacing w:line="360" w:lineRule="auto"/>
        <w:ind w:firstLine="482" w:firstLineChars="200"/>
        <w:rPr>
          <w:rFonts w:hint="eastAsia" w:ascii="宋体" w:hAnsi="宋体" w:cs="宋体"/>
          <w:b/>
          <w:sz w:val="24"/>
          <w:szCs w:val="24"/>
          <w:highlight w:val="none"/>
        </w:rPr>
      </w:pPr>
      <w:r>
        <w:rPr>
          <w:rFonts w:hint="eastAsia" w:ascii="宋体" w:hAnsi="宋体" w:cs="宋体"/>
          <w:b/>
          <w:sz w:val="24"/>
          <w:szCs w:val="24"/>
          <w:highlight w:val="none"/>
        </w:rPr>
        <w:t>二、合同金额</w:t>
      </w:r>
    </w:p>
    <w:p w14:paraId="702CFD8F">
      <w:pPr>
        <w:snapToGrid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2.1 本</w:t>
      </w:r>
      <w:r>
        <w:rPr>
          <w:rFonts w:hint="eastAsia" w:ascii="宋体" w:hAnsi="宋体" w:cs="宋体"/>
          <w:sz w:val="24"/>
          <w:szCs w:val="24"/>
          <w:highlight w:val="none"/>
          <w:lang w:val="en-US" w:eastAsia="zh-CN"/>
        </w:rPr>
        <w:t>项目</w:t>
      </w:r>
      <w:r>
        <w:rPr>
          <w:rFonts w:hint="eastAsia" w:ascii="宋体" w:hAnsi="宋体" w:cs="宋体"/>
          <w:sz w:val="24"/>
          <w:szCs w:val="24"/>
          <w:highlight w:val="none"/>
        </w:rPr>
        <w:t>折扣</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w:t>
      </w:r>
      <w:r>
        <w:rPr>
          <w:rFonts w:hint="eastAsia" w:ascii="宋体" w:hAnsi="宋体" w:cs="宋体"/>
          <w:sz w:val="24"/>
          <w:szCs w:val="24"/>
          <w:highlight w:val="none"/>
          <w:lang w:val="en-US" w:eastAsia="zh-CN"/>
        </w:rPr>
        <w:t>即</w:t>
      </w:r>
      <w:r>
        <w:rPr>
          <w:rFonts w:hint="eastAsia" w:ascii="宋体" w:hAnsi="宋体" w:cs="宋体"/>
          <w:sz w:val="24"/>
          <w:szCs w:val="24"/>
          <w:highlight w:val="none"/>
        </w:rPr>
        <w:t>核与辐射建设项目环评技术</w:t>
      </w:r>
      <w:r>
        <w:rPr>
          <w:rFonts w:hint="eastAsia" w:ascii="宋体" w:hAnsi="宋体" w:cs="宋体"/>
          <w:sz w:val="24"/>
          <w:szCs w:val="24"/>
          <w:highlight w:val="none"/>
          <w:lang w:val="en-US" w:eastAsia="zh-CN"/>
        </w:rPr>
        <w:t>评估</w:t>
      </w:r>
      <w:r>
        <w:rPr>
          <w:rFonts w:hint="eastAsia" w:ascii="宋体" w:hAnsi="宋体" w:cs="宋体"/>
          <w:sz w:val="24"/>
          <w:szCs w:val="24"/>
          <w:highlight w:val="none"/>
        </w:rPr>
        <w:t>函审费用</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元/项目，会议评审费用</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元/项目。</w:t>
      </w:r>
    </w:p>
    <w:p w14:paraId="67A511D9">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三、技术资料</w:t>
      </w:r>
    </w:p>
    <w:p w14:paraId="70BA366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3.1 乙方应按采购文件规定的时间向甲方提供服务（包含与服务相关的产品）的有关技术资料。</w:t>
      </w:r>
    </w:p>
    <w:p w14:paraId="6CDA82E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9BCDA84">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四、知识产权</w:t>
      </w:r>
    </w:p>
    <w:p w14:paraId="6E3B4B4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4.1 乙方应保证甲方在使用、接受本合同服务（包含与服务相关的产品）或其任何一部分时不受第三方提出侵犯其专利权、版权、商标权和工业设计权等知识产权的起诉。一旦出现侵权，由乙方负全部责任。</w:t>
      </w:r>
    </w:p>
    <w:p w14:paraId="42A4E77C">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五、产权担保</w:t>
      </w:r>
    </w:p>
    <w:p w14:paraId="20480D6B">
      <w:pPr>
        <w:snapToGrid w:val="0"/>
        <w:spacing w:line="360" w:lineRule="auto"/>
        <w:ind w:firstLine="480" w:firstLineChars="200"/>
        <w:rPr>
          <w:rFonts w:hint="eastAsia" w:ascii="宋体" w:hAnsi="宋体" w:cs="宋体"/>
          <w:sz w:val="24"/>
          <w:szCs w:val="24"/>
          <w:u w:val="single"/>
        </w:rPr>
      </w:pPr>
      <w:r>
        <w:rPr>
          <w:rFonts w:hint="eastAsia" w:ascii="宋体" w:hAnsi="宋体" w:cs="宋体"/>
          <w:sz w:val="24"/>
          <w:szCs w:val="24"/>
        </w:rPr>
        <w:t>5.1 乙方保证所交付的服务（包含与服务相关的产品）的所有权完全属于乙方且无任何抵押、查封等产权瑕疵。</w:t>
      </w:r>
    </w:p>
    <w:p w14:paraId="4FF9C661">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六、合同转包</w:t>
      </w:r>
    </w:p>
    <w:p w14:paraId="6F233E0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6.1 乙方不得将合同标的转包给他人履行。</w:t>
      </w:r>
    </w:p>
    <w:p w14:paraId="7A9CAC7F">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七、合同款项支付</w:t>
      </w:r>
    </w:p>
    <w:p w14:paraId="790F526E">
      <w:pPr>
        <w:snapToGrid w:val="0"/>
        <w:spacing w:line="360" w:lineRule="auto"/>
        <w:ind w:firstLine="480" w:firstLineChars="200"/>
        <w:rPr>
          <w:rFonts w:hint="eastAsia" w:ascii="宋体" w:hAnsi="宋体" w:cs="宋体"/>
          <w:sz w:val="24"/>
          <w:szCs w:val="24"/>
        </w:rPr>
      </w:pPr>
      <w:r>
        <w:rPr>
          <w:rFonts w:hint="eastAsia" w:ascii="宋体" w:hAnsi="宋体" w:cs="宋体"/>
          <w:bCs/>
          <w:sz w:val="24"/>
          <w:szCs w:val="24"/>
        </w:rPr>
        <w:t>7.1</w:t>
      </w:r>
      <w:r>
        <w:rPr>
          <w:rFonts w:hint="eastAsia" w:ascii="宋体" w:hAnsi="宋体" w:cs="宋体"/>
          <w:sz w:val="24"/>
          <w:szCs w:val="24"/>
        </w:rPr>
        <w:t>由甲方按下列程序在</w:t>
      </w:r>
      <w:r>
        <w:rPr>
          <w:rFonts w:hint="eastAsia" w:ascii="宋体" w:hAnsi="宋体" w:cs="宋体"/>
          <w:sz w:val="24"/>
          <w:szCs w:val="24"/>
          <w:u w:val="single"/>
        </w:rPr>
        <w:t xml:space="preserve">    </w:t>
      </w:r>
      <w:r>
        <w:rPr>
          <w:rFonts w:hint="eastAsia" w:ascii="宋体" w:hAnsi="宋体" w:cs="宋体"/>
          <w:sz w:val="24"/>
          <w:szCs w:val="24"/>
        </w:rPr>
        <w:t>内付款:</w:t>
      </w:r>
    </w:p>
    <w:p w14:paraId="6CECAE1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w:t>
      </w:r>
    </w:p>
    <w:p w14:paraId="0EB95FD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7.2对于满足合同约定支付条件的，甲方应当自收到发票后</w:t>
      </w:r>
      <w:r>
        <w:rPr>
          <w:rFonts w:hint="eastAsia" w:ascii="宋体" w:hAnsi="宋体" w:cs="宋体"/>
          <w:sz w:val="24"/>
          <w:szCs w:val="24"/>
          <w:u w:val="single"/>
        </w:rPr>
        <w:t xml:space="preserve"> 30</w:t>
      </w:r>
      <w:r>
        <w:rPr>
          <w:rFonts w:hint="eastAsia" w:ascii="宋体" w:hAnsi="宋体" w:cs="宋体"/>
          <w:sz w:val="24"/>
          <w:szCs w:val="24"/>
        </w:rPr>
        <w:t>日内将资金支付到合同约定的乙方账户，不得以机构变动、人员更替、政策调整等为由延迟付款，不得将采购文件和合同中未规定的义务作为向乙方付款的条件。</w:t>
      </w:r>
    </w:p>
    <w:p w14:paraId="7E9A6279">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八、税费</w:t>
      </w:r>
    </w:p>
    <w:p w14:paraId="1B3BC51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8.1 本合同执行中相关的一切税费均由乙方负担。</w:t>
      </w:r>
    </w:p>
    <w:p w14:paraId="5BD86153">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九、项目验收</w:t>
      </w:r>
    </w:p>
    <w:p w14:paraId="24297291">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9.1 甲方依法组织履约验收工作。</w:t>
      </w:r>
    </w:p>
    <w:p w14:paraId="28B64F1B">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9.2 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3CD51FBA">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9.3 对于实际使用人和甲方分离的项目，甲方邀请实际使用人参与验收。</w:t>
      </w:r>
    </w:p>
    <w:p w14:paraId="2FE93BD0">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9.4 如有必要，甲方邀请参加本项目的其他供应商、服务对象、第三方专业机构及专家参与验收，相关意见将作为验收书的参考资料。</w:t>
      </w:r>
    </w:p>
    <w:p w14:paraId="300D09C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9.5 甲方成立验收小组，按照采购合同的约定对乙方的履约情况进行验收。验收时,甲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427348C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9.6 验收合格的项目,甲方根据采购合同的约定及时向乙方支付合同款项、退还履约保证金。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5DAD96ED">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十、违约责任</w:t>
      </w:r>
    </w:p>
    <w:p w14:paraId="5C75D57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10.1 甲方无正当理由拒绝接受乙方提供服务的，甲方向乙方偿付拒绝接受服务合同价款总值</w:t>
      </w:r>
      <w:r>
        <w:rPr>
          <w:rFonts w:hint="eastAsia" w:ascii="宋体" w:hAnsi="宋体" w:cs="宋体"/>
          <w:sz w:val="24"/>
          <w:szCs w:val="24"/>
          <w:u w:val="single"/>
        </w:rPr>
        <w:t xml:space="preserve">    </w:t>
      </w:r>
      <w:r>
        <w:rPr>
          <w:rFonts w:hint="eastAsia" w:ascii="宋体" w:hAnsi="宋体" w:cs="宋体"/>
          <w:sz w:val="24"/>
          <w:szCs w:val="24"/>
        </w:rPr>
        <w:t>的违约金。</w:t>
      </w:r>
    </w:p>
    <w:p w14:paraId="07909CF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10.2 甲方无故逾期验收和办理合同款项支付手续的,甲方应按逾期付款总额</w:t>
      </w:r>
      <w:r>
        <w:rPr>
          <w:rFonts w:hint="eastAsia" w:ascii="宋体" w:hAnsi="宋体" w:cs="宋体"/>
          <w:sz w:val="24"/>
          <w:szCs w:val="24"/>
          <w:u w:val="single"/>
        </w:rPr>
        <w:t xml:space="preserve">   </w:t>
      </w:r>
      <w:r>
        <w:rPr>
          <w:rFonts w:hint="eastAsia" w:ascii="宋体" w:hAnsi="宋体" w:cs="宋体"/>
          <w:sz w:val="24"/>
          <w:szCs w:val="24"/>
        </w:rPr>
        <w:t>每日</w:t>
      </w:r>
      <w:r>
        <w:rPr>
          <w:rFonts w:hint="eastAsia" w:ascii="宋体" w:hAnsi="宋体" w:cs="宋体"/>
          <w:sz w:val="24"/>
          <w:szCs w:val="24"/>
          <w:u w:val="single"/>
        </w:rPr>
        <w:t xml:space="preserve">     </w:t>
      </w:r>
      <w:r>
        <w:rPr>
          <w:rFonts w:hint="eastAsia" w:ascii="宋体" w:hAnsi="宋体" w:cs="宋体"/>
          <w:sz w:val="24"/>
          <w:szCs w:val="24"/>
        </w:rPr>
        <w:t>向乙方支付违约金。</w:t>
      </w:r>
    </w:p>
    <w:p w14:paraId="28A5195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10.3 乙方逾期提供服务的，乙方应按逾期提供服务合同总额每日</w:t>
      </w:r>
      <w:r>
        <w:rPr>
          <w:rFonts w:hint="eastAsia" w:ascii="宋体" w:hAnsi="宋体" w:cs="宋体"/>
          <w:sz w:val="24"/>
          <w:szCs w:val="24"/>
          <w:u w:val="single"/>
        </w:rPr>
        <w:t xml:space="preserve">     </w:t>
      </w:r>
      <w:r>
        <w:rPr>
          <w:rFonts w:hint="eastAsia" w:ascii="宋体" w:hAnsi="宋体" w:cs="宋体"/>
          <w:sz w:val="24"/>
          <w:szCs w:val="24"/>
        </w:rPr>
        <w:t>向甲方支付违约金，由甲方从待付合同款项中扣除。逾期超过约定日期</w:t>
      </w:r>
      <w:r>
        <w:rPr>
          <w:rFonts w:hint="eastAsia" w:ascii="宋体" w:hAnsi="宋体" w:cs="宋体"/>
          <w:sz w:val="24"/>
          <w:szCs w:val="24"/>
          <w:u w:val="single"/>
        </w:rPr>
        <w:t xml:space="preserve">     </w:t>
      </w:r>
      <w:r>
        <w:rPr>
          <w:rFonts w:hint="eastAsia" w:ascii="宋体" w:hAnsi="宋体" w:cs="宋体"/>
          <w:sz w:val="24"/>
          <w:szCs w:val="24"/>
        </w:rPr>
        <w:t>个工作日不能提供服务的，甲方可解除本合同。乙方因逾期提供服务或因其他违约行为导致甲方解除合同的，乙方应向甲方支付合同价款总额</w:t>
      </w:r>
      <w:r>
        <w:rPr>
          <w:rFonts w:hint="eastAsia" w:ascii="宋体" w:hAnsi="宋体" w:cs="宋体"/>
          <w:sz w:val="24"/>
          <w:szCs w:val="24"/>
          <w:u w:val="single"/>
        </w:rPr>
        <w:t xml:space="preserve">     </w:t>
      </w:r>
      <w:r>
        <w:rPr>
          <w:rFonts w:hint="eastAsia" w:ascii="宋体" w:hAnsi="宋体" w:cs="宋体"/>
          <w:sz w:val="24"/>
          <w:szCs w:val="24"/>
        </w:rPr>
        <w:t xml:space="preserve">的违约金，如造成甲方损失超过违约金的，超出部分由乙方继续承担赔偿责任。 </w:t>
      </w:r>
    </w:p>
    <w:p w14:paraId="5F49BFF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10.4 乙方所提供服务的标准不符合合同规定及采购文件规定标准的，甲方有权拒绝接受服务，并可单方面解除合同。</w:t>
      </w:r>
    </w:p>
    <w:p w14:paraId="7AB20700">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十一、不可抗力事件处理</w:t>
      </w:r>
    </w:p>
    <w:p w14:paraId="1179CB1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11.1 在合同有效期内，任何一方因不可抗力事件导致不能履行合同，则合同履行期可延长，其延长期与不可抗力影响期相同。</w:t>
      </w:r>
    </w:p>
    <w:p w14:paraId="2DDB82D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11.2 不可抗力事件发生后，应立即通知对方，并寄送有关权威机构出具的证明。</w:t>
      </w:r>
    </w:p>
    <w:p w14:paraId="44BD7232">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11.3 不可抗力事件延续120天以上，双方应通过友好协商，确定是否继续履行合同。</w:t>
      </w:r>
    </w:p>
    <w:p w14:paraId="47E08995">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十二、诉讼</w:t>
      </w:r>
    </w:p>
    <w:p w14:paraId="225A7D0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12.1 双方在执行合同中所发生的一切争议，应通过协商解决。如协商不成，可向合同签订地法院起诉，合同签订地在此约定为</w:t>
      </w:r>
      <w:r>
        <w:rPr>
          <w:rFonts w:hint="eastAsia" w:ascii="宋体" w:hAnsi="宋体" w:cs="宋体"/>
          <w:sz w:val="24"/>
          <w:szCs w:val="24"/>
          <w:u w:val="single"/>
        </w:rPr>
        <w:t xml:space="preserve">       </w:t>
      </w:r>
      <w:r>
        <w:rPr>
          <w:rFonts w:hint="eastAsia" w:ascii="宋体" w:hAnsi="宋体" w:cs="宋体"/>
          <w:sz w:val="24"/>
          <w:szCs w:val="24"/>
        </w:rPr>
        <w:t>。</w:t>
      </w:r>
    </w:p>
    <w:p w14:paraId="08253BBA">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十三、其他</w:t>
      </w:r>
    </w:p>
    <w:p w14:paraId="313FF093">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13.1 本合同所有附件、</w:t>
      </w:r>
      <w:r>
        <w:rPr>
          <w:rFonts w:hint="eastAsia" w:ascii="宋体" w:hAnsi="宋体" w:cs="宋体"/>
          <w:sz w:val="24"/>
          <w:szCs w:val="24"/>
          <w:lang w:val="en-US" w:eastAsia="zh-CN"/>
        </w:rPr>
        <w:t>采购</w:t>
      </w:r>
      <w:r>
        <w:rPr>
          <w:rFonts w:hint="eastAsia" w:ascii="宋体" w:hAnsi="宋体" w:cs="宋体"/>
          <w:sz w:val="24"/>
          <w:szCs w:val="24"/>
        </w:rPr>
        <w:t>文件、投标</w:t>
      </w:r>
      <w:r>
        <w:rPr>
          <w:rFonts w:hint="eastAsia" w:ascii="宋体" w:hAnsi="宋体" w:cs="宋体"/>
          <w:sz w:val="24"/>
          <w:szCs w:val="24"/>
          <w:lang w:eastAsia="zh-CN"/>
        </w:rPr>
        <w:t>（</w:t>
      </w:r>
      <w:r>
        <w:rPr>
          <w:rFonts w:hint="eastAsia" w:ascii="宋体" w:hAnsi="宋体" w:cs="宋体"/>
          <w:sz w:val="24"/>
          <w:szCs w:val="24"/>
          <w:lang w:val="en-US" w:eastAsia="zh-CN"/>
        </w:rPr>
        <w:t>响应</w:t>
      </w:r>
      <w:r>
        <w:rPr>
          <w:rFonts w:hint="eastAsia" w:ascii="宋体" w:hAnsi="宋体" w:cs="宋体"/>
          <w:sz w:val="24"/>
          <w:szCs w:val="24"/>
          <w:lang w:eastAsia="zh-CN"/>
        </w:rPr>
        <w:t>）</w:t>
      </w:r>
      <w:r>
        <w:rPr>
          <w:rFonts w:hint="eastAsia" w:ascii="宋体" w:hAnsi="宋体" w:cs="宋体"/>
          <w:sz w:val="24"/>
          <w:szCs w:val="24"/>
        </w:rPr>
        <w:t>文件、中标</w:t>
      </w:r>
      <w:r>
        <w:rPr>
          <w:rFonts w:hint="eastAsia" w:ascii="宋体" w:hAnsi="宋体" w:cs="宋体"/>
          <w:sz w:val="24"/>
          <w:szCs w:val="24"/>
          <w:lang w:eastAsia="zh-CN"/>
        </w:rPr>
        <w:t>（</w:t>
      </w:r>
      <w:r>
        <w:rPr>
          <w:rFonts w:hint="eastAsia" w:ascii="宋体" w:hAnsi="宋体" w:cs="宋体"/>
          <w:sz w:val="24"/>
          <w:szCs w:val="24"/>
          <w:lang w:val="en-US" w:eastAsia="zh-CN"/>
        </w:rPr>
        <w:t>成交</w:t>
      </w:r>
      <w:r>
        <w:rPr>
          <w:rFonts w:hint="eastAsia" w:ascii="宋体" w:hAnsi="宋体" w:cs="宋体"/>
          <w:sz w:val="24"/>
          <w:szCs w:val="24"/>
          <w:lang w:eastAsia="zh-CN"/>
        </w:rPr>
        <w:t>）</w:t>
      </w:r>
      <w:r>
        <w:rPr>
          <w:rFonts w:hint="eastAsia" w:ascii="宋体" w:hAnsi="宋体" w:cs="宋体"/>
          <w:sz w:val="24"/>
          <w:szCs w:val="24"/>
        </w:rPr>
        <w:t>通知书均为合同的有效组成部分，与本合同具有同等法律效力。</w:t>
      </w:r>
    </w:p>
    <w:p w14:paraId="61CF9399">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13.2 如一方地址、电话、传真号码有变更，应在变更当日内书面通知对方，否则，应承担相应责任。</w:t>
      </w:r>
    </w:p>
    <w:p w14:paraId="56438CB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13.3 除甲方事先书面同意外，乙方不得部分或全部转让其应履行的合同项下的义务。</w:t>
      </w:r>
    </w:p>
    <w:p w14:paraId="61DCFC34">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13.4本合同未尽事宜，遵照《中华人民共和国民法典（合同编）》有关条文执行。</w:t>
      </w:r>
    </w:p>
    <w:p w14:paraId="30C10593">
      <w:pPr>
        <w:snapToGrid w:val="0"/>
        <w:spacing w:line="360" w:lineRule="auto"/>
        <w:ind w:firstLine="482" w:firstLineChars="200"/>
        <w:rPr>
          <w:rFonts w:hint="eastAsia" w:ascii="宋体" w:hAnsi="宋体" w:cs="宋体"/>
          <w:b/>
          <w:sz w:val="24"/>
          <w:szCs w:val="24"/>
        </w:rPr>
      </w:pPr>
      <w:r>
        <w:rPr>
          <w:rFonts w:hint="eastAsia" w:ascii="宋体" w:hAnsi="宋体" w:cs="宋体"/>
          <w:b/>
          <w:sz w:val="24"/>
          <w:szCs w:val="24"/>
        </w:rPr>
        <w:t>十四、合同生效</w:t>
      </w:r>
    </w:p>
    <w:p w14:paraId="6F98FE2D">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14.1 合同经双方法定代表人或授权委托代表人签字并加盖单位公章后生效。</w:t>
      </w:r>
    </w:p>
    <w:p w14:paraId="709668E5">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14.2 本合同正本一式肆份，甲乙双方各执贰份。</w:t>
      </w:r>
    </w:p>
    <w:p w14:paraId="1293E6C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【以下无正文】</w:t>
      </w:r>
    </w:p>
    <w:p w14:paraId="62C8545C">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3CD232DD">
      <w:pPr>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 xml:space="preserve">      </w:t>
      </w:r>
    </w:p>
    <w:p w14:paraId="118FBE57">
      <w:pPr>
        <w:ind w:firstLine="720" w:firstLineChars="300"/>
        <w:rPr>
          <w:rFonts w:hint="eastAsia" w:ascii="宋体" w:hAnsi="宋体" w:cs="宋体"/>
          <w:sz w:val="24"/>
          <w:szCs w:val="24"/>
        </w:rPr>
      </w:pPr>
      <w:r>
        <w:rPr>
          <w:rFonts w:hint="eastAsia" w:ascii="宋体" w:hAnsi="宋体" w:cs="宋体"/>
          <w:sz w:val="24"/>
          <w:szCs w:val="24"/>
        </w:rPr>
        <w:t xml:space="preserve">甲方：                        乙方： </w:t>
      </w:r>
    </w:p>
    <w:p w14:paraId="2B5DE0EE">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地址：                        地址： </w:t>
      </w:r>
    </w:p>
    <w:p w14:paraId="4C024A46">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法定代表人或授权代表：        法定代表人或授权代表：</w:t>
      </w:r>
    </w:p>
    <w:p w14:paraId="645982BA">
      <w:pPr>
        <w:snapToGrid w:val="0"/>
        <w:spacing w:line="360" w:lineRule="auto"/>
        <w:ind w:firstLine="720" w:firstLineChars="300"/>
        <w:rPr>
          <w:rFonts w:hint="eastAsia" w:ascii="宋体" w:hAnsi="宋体" w:cs="宋体"/>
          <w:sz w:val="24"/>
          <w:szCs w:val="24"/>
        </w:rPr>
      </w:pPr>
      <w:r>
        <w:rPr>
          <w:rFonts w:hint="eastAsia" w:ascii="宋体" w:hAnsi="宋体" w:cs="宋体"/>
          <w:sz w:val="24"/>
          <w:szCs w:val="24"/>
        </w:rPr>
        <w:t xml:space="preserve">联系电话：                    联系电话：         </w:t>
      </w:r>
    </w:p>
    <w:p w14:paraId="121EE377">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w:t>
      </w:r>
    </w:p>
    <w:p w14:paraId="2A39F568">
      <w:pPr>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  签订日期：      年    月   日</w:t>
      </w:r>
      <w:bookmarkEnd w:id="9"/>
      <w:bookmarkStart w:id="10" w:name="_Hlt16619369"/>
      <w:bookmarkEnd w:id="10"/>
    </w:p>
    <w:p w14:paraId="579903B8">
      <w:pPr>
        <w:pStyle w:val="23"/>
        <w:spacing w:line="420" w:lineRule="exact"/>
        <w:ind w:left="420" w:firstLine="480"/>
        <w:rPr>
          <w:sz w:val="24"/>
          <w:szCs w:val="24"/>
        </w:rPr>
      </w:pPr>
    </w:p>
    <w:p w14:paraId="70D3CEB5">
      <w:pPr>
        <w:spacing w:line="420" w:lineRule="exact"/>
        <w:jc w:val="center"/>
        <w:rPr>
          <w:sz w:val="24"/>
          <w:szCs w:val="24"/>
        </w:rPr>
      </w:pPr>
    </w:p>
    <w:p w14:paraId="7848E1EB">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br w:type="page"/>
      </w:r>
    </w:p>
    <w:p w14:paraId="4A42FEF4">
      <w:pPr>
        <w:pStyle w:val="240"/>
        <w:tabs>
          <w:tab w:val="left" w:pos="1050"/>
          <w:tab w:val="right" w:leader="dot" w:pos="9402"/>
        </w:tabs>
        <w:spacing w:line="360" w:lineRule="auto"/>
        <w:ind w:left="0"/>
        <w:jc w:val="center"/>
        <w:outlineLvl w:val="0"/>
        <w:rPr>
          <w:rFonts w:ascii="Times New Roman" w:hAnsi="Times New Roman" w:cs="宋体"/>
          <w:b/>
          <w:color w:val="000000" w:themeColor="text1"/>
          <w:sz w:val="44"/>
          <w:szCs w:val="44"/>
          <w:lang w:eastAsia="zh-CN"/>
          <w14:textFill>
            <w14:solidFill>
              <w14:schemeClr w14:val="tx1"/>
            </w14:solidFill>
          </w14:textFill>
        </w:rPr>
      </w:pPr>
      <w:r>
        <w:rPr>
          <w:rFonts w:hint="eastAsia" w:ascii="Times New Roman" w:hAnsi="Times New Roman" w:cs="宋体"/>
          <w:b/>
          <w:color w:val="000000" w:themeColor="text1"/>
          <w:sz w:val="44"/>
          <w:szCs w:val="44"/>
          <w:lang w:eastAsia="zh-CN"/>
          <w14:textFill>
            <w14:solidFill>
              <w14:schemeClr w14:val="tx1"/>
            </w14:solidFill>
          </w14:textFill>
        </w:rPr>
        <w:t>第六章 合同授予</w:t>
      </w:r>
    </w:p>
    <w:p w14:paraId="073BA146">
      <w:pPr>
        <w:spacing w:line="480" w:lineRule="exact"/>
        <w:ind w:firstLine="485"/>
        <w:rPr>
          <w:rFonts w:ascii="Times New Roman" w:hAnsi="Times New Roman" w:cs="宋体"/>
          <w:color w:val="000000" w:themeColor="text1"/>
          <w:sz w:val="28"/>
          <w:szCs w:val="28"/>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一、成交供应商在《成交通知书》发出之日起30日内须按照磋商文件确定的事项和采购单位签订政府采购合同。合同一式肆份，采购</w:t>
      </w:r>
      <w:r>
        <w:rPr>
          <w:rFonts w:hint="eastAsia" w:ascii="Times New Roman" w:hAnsi="Times New Roman" w:cs="宋体"/>
          <w:color w:val="000000" w:themeColor="text1"/>
          <w:sz w:val="24"/>
          <w:szCs w:val="24"/>
          <w14:textFill>
            <w14:solidFill>
              <w14:schemeClr w14:val="tx1"/>
            </w14:solidFill>
          </w14:textFill>
        </w:rPr>
        <w:t>单位</w:t>
      </w:r>
      <w:r>
        <w:rPr>
          <w:rFonts w:hint="eastAsia" w:ascii="Times New Roman" w:hAnsi="Times New Roman" w:cs="宋体"/>
          <w:color w:val="000000" w:themeColor="text1"/>
          <w:sz w:val="24"/>
          <w14:textFill>
            <w14:solidFill>
              <w14:schemeClr w14:val="tx1"/>
            </w14:solidFill>
          </w14:textFill>
        </w:rPr>
        <w:t>贰份、供应商贰份。所签合同不得对磋商文件作实质性修改。采购单位不得向成交供应商提出不合理的要求作为签订合同的条件，不得与成交供应商私下订立背离磋商文件实质性内容的协议。</w:t>
      </w:r>
    </w:p>
    <w:p w14:paraId="15A6AA9D">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二、采购单位按合同约定积极配合成交供应商履约，成交供应商履约到位后，请以书面形式向采购单位提出验收申请。</w:t>
      </w:r>
    </w:p>
    <w:p w14:paraId="35EBF4A5">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三、采购单位故意推迟</w:t>
      </w:r>
      <w:r>
        <w:rPr>
          <w:rFonts w:hint="eastAsia" w:ascii="Times New Roman" w:hAnsi="Times New Roman" w:cs="宋体"/>
          <w:color w:val="000000" w:themeColor="text1"/>
          <w:sz w:val="24"/>
          <w:szCs w:val="24"/>
          <w14:textFill>
            <w14:solidFill>
              <w14:schemeClr w14:val="tx1"/>
            </w14:solidFill>
          </w14:textFill>
        </w:rPr>
        <w:t>项目</w:t>
      </w:r>
      <w:r>
        <w:rPr>
          <w:rFonts w:hint="eastAsia" w:ascii="Times New Roman" w:hAnsi="Times New Roman" w:cs="宋体"/>
          <w:color w:val="000000" w:themeColor="text1"/>
          <w:sz w:val="24"/>
          <w14:textFill>
            <w14:solidFill>
              <w14:schemeClr w14:val="tx1"/>
            </w14:solidFill>
          </w14:textFill>
        </w:rPr>
        <w:t>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38152CD7">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四、成交供应商出现违约情形，应当及时纠正或补偿；造成损失的，按合同约定追究违约责任；发现有假冒、伪劣、走私产品、商业贿赂等违法情形的，应由采购单位移交工商、质监、公安等行政执法部门依法查处。</w:t>
      </w:r>
    </w:p>
    <w:p w14:paraId="1F661836">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五、不响应付款方式的，视同响应文件无效，按无效响应文件处理。</w:t>
      </w:r>
    </w:p>
    <w:p w14:paraId="2ABB9CDF">
      <w:pPr>
        <w:spacing w:line="480" w:lineRule="exact"/>
        <w:ind w:firstLine="485"/>
        <w:rPr>
          <w:rFonts w:ascii="Times New Roman" w:hAnsi="Times New Roman" w:cs="宋体"/>
          <w:color w:val="000000" w:themeColor="text1"/>
          <w:sz w:val="2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六、付款方式详见磋商文件第五章。</w:t>
      </w:r>
    </w:p>
    <w:p w14:paraId="7A7DD4E6">
      <w:pPr>
        <w:spacing w:line="480" w:lineRule="exact"/>
        <w:ind w:firstLine="485"/>
        <w:rPr>
          <w:rFonts w:ascii="Times New Roman" w:hAnsi="Times New Roman" w:cs="宋体"/>
          <w:b/>
          <w:iCs/>
          <w:color w:val="000000" w:themeColor="text1"/>
          <w:sz w:val="44"/>
          <w:szCs w:val="44"/>
          <w14:textFill>
            <w14:solidFill>
              <w14:schemeClr w14:val="tx1"/>
            </w14:solidFill>
          </w14:textFill>
        </w:rPr>
      </w:pPr>
      <w:r>
        <w:rPr>
          <w:rFonts w:hint="eastAsia" w:ascii="Times New Roman" w:hAnsi="Times New Roman" w:cs="宋体"/>
          <w:color w:val="000000" w:themeColor="text1"/>
          <w:sz w:val="24"/>
          <w14:textFill>
            <w14:solidFill>
              <w14:schemeClr w14:val="tx1"/>
            </w14:solidFill>
          </w14:textFill>
        </w:rPr>
        <w:t>七、以上项目款的支付不计息。</w:t>
      </w:r>
    </w:p>
    <w:p w14:paraId="485D7D1B">
      <w:pPr>
        <w:rPr>
          <w:rFonts w:ascii="Times New Roman" w:hAnsi="Times New Roman" w:cs="宋体"/>
          <w:b/>
          <w:iCs/>
          <w:color w:val="000000" w:themeColor="text1"/>
          <w:sz w:val="44"/>
          <w:szCs w:val="44"/>
          <w14:textFill>
            <w14:solidFill>
              <w14:schemeClr w14:val="tx1"/>
            </w14:solidFill>
          </w14:textFill>
        </w:rPr>
      </w:pPr>
    </w:p>
    <w:p w14:paraId="459550E5">
      <w:pPr>
        <w:pStyle w:val="240"/>
        <w:tabs>
          <w:tab w:val="left" w:pos="1050"/>
          <w:tab w:val="right" w:leader="dot" w:pos="9402"/>
        </w:tabs>
        <w:spacing w:line="360" w:lineRule="auto"/>
        <w:ind w:left="0"/>
        <w:jc w:val="center"/>
        <w:outlineLvl w:val="0"/>
        <w:rPr>
          <w:rFonts w:ascii="Times New Roman" w:hAnsi="Times New Roman"/>
          <w:color w:val="000000" w:themeColor="text1"/>
          <w:sz w:val="28"/>
          <w:szCs w:val="28"/>
          <w:lang w:eastAsia="zh-CN"/>
          <w14:textFill>
            <w14:solidFill>
              <w14:schemeClr w14:val="tx1"/>
            </w14:solidFill>
          </w14:textFill>
        </w:rPr>
      </w:pPr>
      <w:r>
        <w:rPr>
          <w:rFonts w:ascii="Times New Roman" w:hAnsi="Times New Roman" w:cs="宋体"/>
          <w:b/>
          <w:iCs/>
          <w:color w:val="000000" w:themeColor="text1"/>
          <w:sz w:val="44"/>
          <w:szCs w:val="44"/>
          <w:lang w:eastAsia="zh-CN"/>
          <w14:textFill>
            <w14:solidFill>
              <w14:schemeClr w14:val="tx1"/>
            </w14:solidFill>
          </w14:textFill>
        </w:rPr>
        <w:br w:type="page" w:clear="all"/>
      </w:r>
      <w:r>
        <w:rPr>
          <w:rFonts w:hint="eastAsia" w:ascii="Times New Roman" w:hAnsi="Times New Roman" w:cs="宋体"/>
          <w:b/>
          <w:iCs/>
          <w:color w:val="000000" w:themeColor="text1"/>
          <w:sz w:val="44"/>
          <w:szCs w:val="44"/>
          <w:lang w:eastAsia="zh-CN"/>
          <w14:textFill>
            <w14:solidFill>
              <w14:schemeClr w14:val="tx1"/>
            </w14:solidFill>
          </w14:textFill>
        </w:rPr>
        <w:t>第七章 质疑提出和处理</w:t>
      </w:r>
    </w:p>
    <w:p w14:paraId="0C4D441A">
      <w:pPr>
        <w:spacing w:line="360" w:lineRule="auto"/>
        <w:ind w:firstLine="487"/>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一、质疑的提出</w:t>
      </w:r>
    </w:p>
    <w:p w14:paraId="0B3A43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1.提出质疑的供应商应当是参与所质疑项目采购活动的供应商。潜在供应商依法获取其可质疑的采购文件的，可以对采购文件提出质疑。</w:t>
      </w:r>
    </w:p>
    <w:p w14:paraId="554CDAED">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2.供应商认为采购文件、采购过程和采购结果使自己的权益受到损害的，可以在知道或应知其权益受到损害之日起七个工作日内，以书面形式向采购人提出质疑。上述应知其权益受到损害之日，是指：</w:t>
      </w:r>
    </w:p>
    <w:p w14:paraId="00778B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2.1对可以质疑的采购文件提出质疑的，为收到采购文件之日或者采购文件公告期限届满之日；</w:t>
      </w:r>
    </w:p>
    <w:p w14:paraId="052783E2">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2.2对采购过程提出质疑的，为各采购程序环节结束之日；</w:t>
      </w:r>
    </w:p>
    <w:p w14:paraId="57FB1B1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2.3对成交结果提出质疑的，为成交结果公告期限届满之日。</w:t>
      </w:r>
    </w:p>
    <w:p w14:paraId="574B2A36">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供应商应当在法定质疑期内一次性提出针对同一采购程序环节的质疑。</w:t>
      </w:r>
    </w:p>
    <w:p w14:paraId="799F46E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3.质疑函必须按照本</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文件中《质疑函范本》要求的格式和内容进行填写。供应商如组成联合体参加采购活动，则《质疑函范本》中要求签字、盖章、加盖公章之处，联合体各方均须按要求签字、盖章、加盖公章。</w:t>
      </w:r>
    </w:p>
    <w:p w14:paraId="6E713F8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4.对采购方式、</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文件中项目需求、供应商资格条件、评审方法和评审标准、资格审查结果等应当由采购人答复的质疑，请向采购人提出，由采购人负责答复。</w:t>
      </w:r>
    </w:p>
    <w:p w14:paraId="099FE077">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采购人质疑接收人及联系方式，见</w:t>
      </w:r>
      <w:r>
        <w:rPr>
          <w:rFonts w:hint="eastAsia" w:ascii="Times New Roman" w:hAnsi="Times New Roman" w:cs="黑体"/>
          <w:bCs/>
          <w:color w:val="000000" w:themeColor="text1"/>
          <w:sz w:val="24"/>
          <w:szCs w:val="24"/>
          <w:shd w:val="clear" w:color="auto" w:fill="FFFFFF"/>
          <w14:textFill>
            <w14:solidFill>
              <w14:schemeClr w14:val="tx1"/>
            </w14:solidFill>
          </w14:textFill>
        </w:rPr>
        <w:t>采购</w:t>
      </w:r>
      <w:r>
        <w:rPr>
          <w:rFonts w:hint="eastAsia" w:ascii="Times New Roman" w:hAnsi="Times New Roman"/>
          <w:color w:val="000000" w:themeColor="text1"/>
          <w:sz w:val="24"/>
          <w:szCs w:val="24"/>
          <w14:textFill>
            <w14:solidFill>
              <w14:schemeClr w14:val="tx1"/>
            </w14:solidFill>
          </w14:textFill>
        </w:rPr>
        <w:t>文件第一章。</w:t>
      </w:r>
    </w:p>
    <w:p w14:paraId="5572D96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5.以下情形的质疑不予受理</w:t>
      </w:r>
    </w:p>
    <w:p w14:paraId="320BD3CF">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5.1 内容不符合《政府采购质疑和投诉办法》财政部第94号令第十二条规定的质疑。</w:t>
      </w:r>
    </w:p>
    <w:p w14:paraId="0AC9824C">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5.2 超出政府采购法定期限的质疑。</w:t>
      </w:r>
    </w:p>
    <w:p w14:paraId="6F9845C5">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5.3 未参加采购活动的供应商。</w:t>
      </w:r>
    </w:p>
    <w:p w14:paraId="3FB97E31">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5.4供应商组成联合体参加采购活动，联合体中任何一方或多方未按要求签字、盖章、加盖公章的质疑。</w:t>
      </w:r>
    </w:p>
    <w:p w14:paraId="4A2AFFBB">
      <w:pPr>
        <w:spacing w:line="360" w:lineRule="auto"/>
        <w:ind w:firstLine="485"/>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6EA19248">
      <w:pPr>
        <w:spacing w:after="12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14:textFill>
            <w14:solidFill>
              <w14:schemeClr w14:val="tx1"/>
            </w14:solidFill>
          </w14:textFill>
        </w:rPr>
        <w:br w:type="page" w:clear="all"/>
      </w:r>
      <w:r>
        <w:rPr>
          <w:rFonts w:hint="eastAsia" w:ascii="Times New Roman" w:hAnsi="Times New Roman"/>
          <w:color w:val="000000" w:themeColor="text1"/>
          <w:szCs w:val="21"/>
          <w14:textFill>
            <w14:solidFill>
              <w14:schemeClr w14:val="tx1"/>
            </w14:solidFill>
          </w14:textFill>
        </w:rPr>
        <w:t>附件：</w:t>
      </w:r>
    </w:p>
    <w:p w14:paraId="4775BCD5">
      <w:pPr>
        <w:jc w:val="center"/>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质疑函范本</w:t>
      </w:r>
    </w:p>
    <w:p w14:paraId="0ADA07C8">
      <w:pPr>
        <w:spacing w:before="312"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一、质疑供应商基本信息</w:t>
      </w:r>
    </w:p>
    <w:p w14:paraId="6969334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质疑供应商：</w:t>
      </w:r>
    </w:p>
    <w:p w14:paraId="03E24B9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1B7BD826">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联系人：联系电话：</w:t>
      </w:r>
    </w:p>
    <w:p w14:paraId="791FE4EC">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授权代表：</w:t>
      </w:r>
    </w:p>
    <w:p w14:paraId="579E17A3">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联系电话：</w:t>
      </w:r>
    </w:p>
    <w:p w14:paraId="66FDA340">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地址：邮编：</w:t>
      </w:r>
    </w:p>
    <w:p w14:paraId="2B6CC2B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二、质疑项目基本情况</w:t>
      </w:r>
    </w:p>
    <w:p w14:paraId="0675BE1F">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质疑项目的名称：</w:t>
      </w:r>
    </w:p>
    <w:p w14:paraId="6E0B591E">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质疑项目的编号：包号：</w:t>
      </w:r>
    </w:p>
    <w:p w14:paraId="4466B408">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采购人名称：</w:t>
      </w:r>
    </w:p>
    <w:p w14:paraId="3315728B">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采购文件获取日期：</w:t>
      </w:r>
    </w:p>
    <w:p w14:paraId="58D81DF4">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三、质疑事项具体内容</w:t>
      </w:r>
    </w:p>
    <w:p w14:paraId="76020336">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质疑事项1：</w:t>
      </w:r>
    </w:p>
    <w:p w14:paraId="46422C32">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事实依据：</w:t>
      </w:r>
    </w:p>
    <w:p w14:paraId="73A6647C">
      <w:pPr>
        <w:spacing w:line="360" w:lineRule="auto"/>
        <w:rPr>
          <w:rFonts w:ascii="Times New Roman" w:hAnsi="Times New Roman" w:cs="仿宋"/>
          <w:color w:val="000000" w:themeColor="text1"/>
          <w:sz w:val="24"/>
          <w:szCs w:val="24"/>
          <w14:textFill>
            <w14:solidFill>
              <w14:schemeClr w14:val="tx1"/>
            </w14:solidFill>
          </w14:textFill>
        </w:rPr>
      </w:pPr>
    </w:p>
    <w:p w14:paraId="5169DF95">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法律依据：</w:t>
      </w:r>
    </w:p>
    <w:p w14:paraId="65B33EC1">
      <w:pPr>
        <w:spacing w:line="360" w:lineRule="auto"/>
        <w:rPr>
          <w:rFonts w:ascii="Times New Roman" w:hAnsi="Times New Roman" w:cs="仿宋"/>
          <w:color w:val="000000" w:themeColor="text1"/>
          <w:sz w:val="24"/>
          <w:szCs w:val="24"/>
          <w:u w:val="single"/>
          <w14:textFill>
            <w14:solidFill>
              <w14:schemeClr w14:val="tx1"/>
            </w14:solidFill>
          </w14:textFill>
        </w:rPr>
      </w:pPr>
    </w:p>
    <w:p w14:paraId="287B53F9">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质疑事项2</w:t>
      </w:r>
    </w:p>
    <w:p w14:paraId="1E51337A">
      <w:pPr>
        <w:spacing w:line="360" w:lineRule="auto"/>
        <w:rPr>
          <w:rFonts w:ascii="Times New Roman" w:hAnsi="Times New Roman" w:cs="仿宋"/>
          <w:color w:val="000000" w:themeColor="text1"/>
          <w:sz w:val="24"/>
          <w:szCs w:val="24"/>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w:t>
      </w:r>
    </w:p>
    <w:p w14:paraId="2C3095C1">
      <w:pPr>
        <w:spacing w:line="360" w:lineRule="auto"/>
        <w:rPr>
          <w:rFonts w:ascii="Times New Roman" w:hAnsi="Times New Roman" w:cs="仿宋"/>
          <w:bCs/>
          <w:color w:val="000000" w:themeColor="text1"/>
          <w:sz w:val="24"/>
          <w:szCs w:val="24"/>
          <w14:textFill>
            <w14:solidFill>
              <w14:schemeClr w14:val="tx1"/>
            </w14:solidFill>
          </w14:textFill>
        </w:rPr>
      </w:pPr>
      <w:r>
        <w:rPr>
          <w:rFonts w:hint="eastAsia" w:ascii="Times New Roman" w:hAnsi="Times New Roman" w:cs="仿宋"/>
          <w:bCs/>
          <w:color w:val="000000" w:themeColor="text1"/>
          <w:sz w:val="24"/>
          <w:szCs w:val="24"/>
          <w14:textFill>
            <w14:solidFill>
              <w14:schemeClr w14:val="tx1"/>
            </w14:solidFill>
          </w14:textFill>
        </w:rPr>
        <w:t>四、与质疑事项相关的质疑请求</w:t>
      </w:r>
    </w:p>
    <w:p w14:paraId="5EEDDD0F">
      <w:pPr>
        <w:spacing w:line="360" w:lineRule="auto"/>
        <w:rPr>
          <w:rFonts w:ascii="Times New Roman" w:hAnsi="Times New Roman" w:cs="仿宋"/>
          <w:color w:val="000000" w:themeColor="text1"/>
          <w:sz w:val="24"/>
          <w:szCs w:val="24"/>
          <w:u w:val="single"/>
          <w14:textFill>
            <w14:solidFill>
              <w14:schemeClr w14:val="tx1"/>
            </w14:solidFill>
          </w14:textFill>
        </w:rPr>
      </w:pPr>
      <w:r>
        <w:rPr>
          <w:rFonts w:hint="eastAsia" w:ascii="Times New Roman" w:hAnsi="Times New Roman" w:cs="仿宋"/>
          <w:color w:val="000000" w:themeColor="text1"/>
          <w:sz w:val="24"/>
          <w:szCs w:val="24"/>
          <w14:textFill>
            <w14:solidFill>
              <w14:schemeClr w14:val="tx1"/>
            </w14:solidFill>
          </w14:textFill>
        </w:rPr>
        <w:t>请求：</w:t>
      </w:r>
    </w:p>
    <w:p w14:paraId="66468162">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签字(签章)：公章：</w:t>
      </w:r>
    </w:p>
    <w:p w14:paraId="39DE6CE3">
      <w:pP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日期：</w:t>
      </w:r>
    </w:p>
    <w:p w14:paraId="2504039A">
      <w:pPr>
        <w:spacing w:line="360" w:lineRule="auto"/>
        <w:rPr>
          <w:rFonts w:ascii="Times New Roman" w:hAnsi="Times New Roman" w:cs="仿宋"/>
          <w:color w:val="000000" w:themeColor="text1"/>
          <w:sz w:val="24"/>
          <w:szCs w:val="24"/>
          <w14:textFill>
            <w14:solidFill>
              <w14:schemeClr w14:val="tx1"/>
            </w14:solidFill>
          </w14:textFill>
        </w:rPr>
      </w:pPr>
    </w:p>
    <w:p w14:paraId="260AFB32">
      <w:pPr>
        <w:rPr>
          <w:rFonts w:ascii="Times New Roman" w:hAnsi="Times New Roman"/>
          <w:b/>
          <w:color w:val="000000" w:themeColor="text1"/>
          <w:sz w:val="24"/>
          <w:szCs w:val="24"/>
          <w14:textFill>
            <w14:solidFill>
              <w14:schemeClr w14:val="tx1"/>
            </w14:solidFill>
          </w14:textFill>
        </w:rPr>
      </w:pPr>
    </w:p>
    <w:p w14:paraId="0E537540">
      <w:pPr>
        <w:widowControl/>
        <w:jc w:val="left"/>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clear="all"/>
      </w:r>
    </w:p>
    <w:p w14:paraId="32C5C1B0">
      <w:pPr>
        <w:widowControl/>
        <w:spacing w:line="360" w:lineRule="auto"/>
        <w:jc w:val="left"/>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质疑函制作说明：</w:t>
      </w:r>
    </w:p>
    <w:p w14:paraId="67A44192">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1.供应商提出质疑时，应提交质疑函和必要的证明材料。</w:t>
      </w:r>
    </w:p>
    <w:p w14:paraId="23746691">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2.质疑供应商若委托代理人进行质疑的，质疑函应按要求列明“授权代表”的有关内容，并在附件中提交由质疑</w:t>
      </w:r>
      <w:r>
        <w:rPr>
          <w:rFonts w:hint="eastAsia" w:ascii="Times New Roman" w:hAnsi="Times New Roman" w:cs="宋体"/>
          <w:color w:val="000000" w:themeColor="text1"/>
          <w:sz w:val="24"/>
          <w:szCs w:val="24"/>
          <w14:textFill>
            <w14:solidFill>
              <w14:schemeClr w14:val="tx1"/>
            </w14:solidFill>
          </w14:textFill>
        </w:rPr>
        <w:t>供应商签署的授权委托书。授权委托书应载明代理人的姓名或者名称、代理事项、具体权限、期限和相关事项。</w:t>
      </w:r>
    </w:p>
    <w:p w14:paraId="438F8B10">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3.质疑供应商若对项目的某一分包进行质疑，质疑函中应列明具体分包号。</w:t>
      </w:r>
    </w:p>
    <w:p w14:paraId="74D6BC1A">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4.质疑函的质疑事项应具体、明确，并有必要的事实依据和法律依据。</w:t>
      </w:r>
    </w:p>
    <w:p w14:paraId="6CFB22BC">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5.质疑函的质疑请求应与质疑事项相关。</w:t>
      </w:r>
    </w:p>
    <w:p w14:paraId="797078B6">
      <w:pPr>
        <w:widowControl/>
        <w:spacing w:line="360" w:lineRule="auto"/>
        <w:ind w:firstLine="480"/>
        <w:jc w:val="lef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color w:val="000000" w:themeColor="text1"/>
          <w:sz w:val="24"/>
          <w:szCs w:val="24"/>
          <w14:textFill>
            <w14:solidFill>
              <w14:schemeClr w14:val="tx1"/>
            </w14:solidFill>
          </w14:textFill>
        </w:rPr>
        <w:t>。</w:t>
      </w:r>
    </w:p>
    <w:p w14:paraId="6AD3C60A">
      <w:pPr>
        <w:widowControl/>
        <w:spacing w:line="360" w:lineRule="auto"/>
        <w:jc w:val="left"/>
        <w:rPr>
          <w:rFonts w:ascii="Times New Roman" w:hAnsi="Times New Roman" w:cs="宋体"/>
          <w:color w:val="000000" w:themeColor="text1"/>
          <w:sz w:val="24"/>
          <w:szCs w:val="24"/>
          <w14:textFill>
            <w14:solidFill>
              <w14:schemeClr w14:val="tx1"/>
            </w14:solidFill>
          </w14:textFill>
        </w:rPr>
      </w:pPr>
    </w:p>
    <w:p w14:paraId="59616B70">
      <w:pPr>
        <w:spacing w:line="360" w:lineRule="auto"/>
        <w:jc w:val="center"/>
        <w:outlineLvl w:val="0"/>
        <w:rPr>
          <w:rFonts w:ascii="Times New Roman" w:hAnsi="Times New Roman"/>
          <w:b/>
          <w:color w:val="000000" w:themeColor="text1"/>
          <w:sz w:val="44"/>
          <w14:textFill>
            <w14:solidFill>
              <w14:schemeClr w14:val="tx1"/>
            </w14:solidFill>
          </w14:textFill>
        </w:rPr>
      </w:pPr>
      <w:r>
        <w:rPr>
          <w:rFonts w:ascii="Times New Roman" w:hAnsi="Times New Roman"/>
          <w:b/>
          <w:color w:val="000000" w:themeColor="text1"/>
          <w:sz w:val="44"/>
          <w:szCs w:val="44"/>
          <w14:textFill>
            <w14:solidFill>
              <w14:schemeClr w14:val="tx1"/>
            </w14:solidFill>
          </w14:textFill>
        </w:rPr>
        <w:br w:type="page" w:clear="all"/>
      </w:r>
      <w:r>
        <w:rPr>
          <w:rFonts w:hint="eastAsia" w:ascii="Times New Roman" w:hAnsi="Times New Roman"/>
          <w:b/>
          <w:color w:val="000000" w:themeColor="text1"/>
          <w:sz w:val="44"/>
          <w:szCs w:val="44"/>
          <w14:textFill>
            <w14:solidFill>
              <w14:schemeClr w14:val="tx1"/>
            </w14:solidFill>
          </w14:textFill>
        </w:rPr>
        <w:t>第八章 响应文件组成及格式</w:t>
      </w:r>
    </w:p>
    <w:p w14:paraId="096380A2">
      <w:pPr>
        <w:adjustRightInd w:val="0"/>
        <w:snapToGrid w:val="0"/>
        <w:spacing w:line="360" w:lineRule="auto"/>
        <w:ind w:firstLine="555"/>
        <w:jc w:val="left"/>
        <w:rPr>
          <w:rFonts w:hint="eastAsia" w:ascii="宋体" w:hAnsi="宋体"/>
          <w:b/>
          <w:color w:val="000000" w:themeColor="text1"/>
          <w:kern w:val="2"/>
          <w:sz w:val="24"/>
          <w:szCs w:val="24"/>
          <w14:textFill>
            <w14:solidFill>
              <w14:schemeClr w14:val="tx1"/>
            </w14:solidFill>
          </w14:textFill>
        </w:rPr>
      </w:pPr>
      <w:r>
        <w:rPr>
          <w:rFonts w:ascii="宋体" w:hAnsi="宋体"/>
          <w:b/>
          <w:color w:val="000000" w:themeColor="text1"/>
          <w:kern w:val="2"/>
          <w:sz w:val="24"/>
          <w:szCs w:val="24"/>
          <w14:textFill>
            <w14:solidFill>
              <w14:schemeClr w14:val="tx1"/>
            </w14:solidFill>
          </w14:textFill>
        </w:rPr>
        <w:t>响应文件由资格审查</w:t>
      </w:r>
      <w:r>
        <w:rPr>
          <w:rFonts w:hint="eastAsia" w:ascii="宋体" w:hAnsi="宋体"/>
          <w:b/>
          <w:color w:val="000000" w:themeColor="text1"/>
          <w:kern w:val="2"/>
          <w:sz w:val="24"/>
          <w:szCs w:val="24"/>
          <w14:textFill>
            <w14:solidFill>
              <w14:schemeClr w14:val="tx1"/>
            </w14:solidFill>
          </w14:textFill>
        </w:rPr>
        <w:t>文件</w:t>
      </w:r>
      <w:r>
        <w:rPr>
          <w:rFonts w:ascii="宋体" w:hAnsi="宋体"/>
          <w:b/>
          <w:color w:val="000000" w:themeColor="text1"/>
          <w:kern w:val="2"/>
          <w:sz w:val="24"/>
          <w:szCs w:val="24"/>
          <w14:textFill>
            <w14:solidFill>
              <w14:schemeClr w14:val="tx1"/>
            </w14:solidFill>
          </w14:textFill>
        </w:rPr>
        <w:t>、商务技术</w:t>
      </w:r>
      <w:r>
        <w:rPr>
          <w:rFonts w:hint="eastAsia" w:ascii="宋体" w:hAnsi="宋体"/>
          <w:b/>
          <w:color w:val="000000" w:themeColor="text1"/>
          <w:kern w:val="2"/>
          <w:sz w:val="24"/>
          <w:szCs w:val="24"/>
          <w14:textFill>
            <w14:solidFill>
              <w14:schemeClr w14:val="tx1"/>
            </w14:solidFill>
          </w14:textFill>
        </w:rPr>
        <w:t>响应</w:t>
      </w:r>
      <w:r>
        <w:rPr>
          <w:rFonts w:ascii="宋体" w:hAnsi="宋体"/>
          <w:b/>
          <w:color w:val="000000" w:themeColor="text1"/>
          <w:kern w:val="2"/>
          <w:sz w:val="24"/>
          <w:szCs w:val="24"/>
          <w14:textFill>
            <w14:solidFill>
              <w14:schemeClr w14:val="tx1"/>
            </w14:solidFill>
          </w14:textFill>
        </w:rPr>
        <w:t>文件、</w:t>
      </w:r>
      <w:r>
        <w:rPr>
          <w:rFonts w:hint="eastAsia" w:ascii="宋体" w:hAnsi="宋体"/>
          <w:b/>
          <w:color w:val="000000" w:themeColor="text1"/>
          <w:kern w:val="2"/>
          <w:sz w:val="24"/>
          <w:szCs w:val="24"/>
          <w14:textFill>
            <w14:solidFill>
              <w14:schemeClr w14:val="tx1"/>
            </w14:solidFill>
          </w14:textFill>
        </w:rPr>
        <w:t>报价响应</w:t>
      </w:r>
      <w:r>
        <w:rPr>
          <w:rFonts w:ascii="宋体" w:hAnsi="宋体"/>
          <w:b/>
          <w:color w:val="000000" w:themeColor="text1"/>
          <w:kern w:val="2"/>
          <w:sz w:val="24"/>
          <w:szCs w:val="24"/>
          <w14:textFill>
            <w14:solidFill>
              <w14:schemeClr w14:val="tx1"/>
            </w14:solidFill>
          </w14:textFill>
        </w:rPr>
        <w:t>文件三部分组成。</w:t>
      </w:r>
      <w:r>
        <w:rPr>
          <w:rFonts w:ascii="宋体" w:hAnsi="宋体"/>
          <w:b/>
          <w:bCs/>
          <w:color w:val="000000" w:themeColor="text1"/>
          <w:sz w:val="24"/>
          <w:szCs w:val="24"/>
          <w:lang w:val="zh-CN"/>
          <w14:textFill>
            <w14:solidFill>
              <w14:schemeClr w14:val="tx1"/>
            </w14:solidFill>
          </w14:textFill>
        </w:rPr>
        <w:t>请供应商根据本磋商文件的要求分别</w:t>
      </w:r>
      <w:r>
        <w:rPr>
          <w:rFonts w:hint="eastAsia" w:ascii="宋体" w:hAnsi="宋体"/>
          <w:b/>
          <w:bCs/>
          <w:color w:val="000000" w:themeColor="text1"/>
          <w:sz w:val="24"/>
          <w:szCs w:val="24"/>
          <w:lang w:val="zh-CN"/>
          <w14:textFill>
            <w14:solidFill>
              <w14:schemeClr w14:val="tx1"/>
            </w14:solidFill>
          </w14:textFill>
        </w:rPr>
        <w:t>制作、密封</w:t>
      </w:r>
      <w:r>
        <w:rPr>
          <w:rFonts w:ascii="宋体" w:hAnsi="宋体"/>
          <w:b/>
          <w:bCs/>
          <w:color w:val="000000" w:themeColor="text1"/>
          <w:sz w:val="24"/>
          <w:szCs w:val="24"/>
          <w:lang w:val="zh-CN"/>
          <w14:textFill>
            <w14:solidFill>
              <w14:schemeClr w14:val="tx1"/>
            </w14:solidFill>
          </w14:textFill>
        </w:rPr>
        <w:t>响应的材料。</w:t>
      </w:r>
    </w:p>
    <w:p w14:paraId="494A6B44">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一、资格审查</w:t>
      </w:r>
      <w:r>
        <w:rPr>
          <w:rFonts w:hint="eastAsia" w:ascii="宋体" w:hAnsi="宋体"/>
          <w:b/>
          <w:bCs/>
          <w:color w:val="000000" w:themeColor="text1"/>
          <w:sz w:val="24"/>
          <w:szCs w:val="24"/>
          <w:lang w:val="zh-CN"/>
          <w14:textFill>
            <w14:solidFill>
              <w14:schemeClr w14:val="tx1"/>
            </w14:solidFill>
          </w14:textFill>
        </w:rPr>
        <w:t>文件</w:t>
      </w:r>
      <w:r>
        <w:rPr>
          <w:rFonts w:ascii="宋体" w:hAnsi="宋体"/>
          <w:b/>
          <w:bCs/>
          <w:color w:val="000000" w:themeColor="text1"/>
          <w:sz w:val="24"/>
          <w:szCs w:val="24"/>
          <w:lang w:val="zh-CN"/>
          <w14:textFill>
            <w14:solidFill>
              <w14:schemeClr w14:val="tx1"/>
            </w14:solidFill>
          </w14:textFill>
        </w:rPr>
        <w:t>（</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62A6B5B1">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sz w:val="24"/>
          <w:szCs w:val="24"/>
          <w:highlight w:val="none"/>
        </w:rPr>
        <w:t>供应商具有独立承担民事责任的能力；</w:t>
      </w:r>
      <w:r>
        <w:rPr>
          <w:rFonts w:hint="eastAsia" w:ascii="宋体" w:hAnsi="宋体" w:cs="宋体"/>
          <w:color w:val="000000" w:themeColor="text1"/>
          <w:sz w:val="24"/>
          <w:szCs w:val="24"/>
          <w14:textFill>
            <w14:solidFill>
              <w14:schemeClr w14:val="tx1"/>
            </w14:solidFill>
          </w14:textFill>
        </w:rPr>
        <w:t>供应商具有良好的商业信誉和健全的财务会计制度；具有履行合同所必需的设备和专业技术能力；有依法缴纳税收和社会保障资金的良好记录；参加本次采购活动前三年内，在经营活动中没有重大违法记录；法律、行政法规规定的其他条件。须提供：符合条件的声明函（格式见附件）；</w:t>
      </w:r>
    </w:p>
    <w:p w14:paraId="03958A0D">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2.供应商须提供有效的营业执照副本复印件或其他组织的营业执照复印件或自然人身份证复印件（加盖供应商公章）；</w:t>
      </w:r>
    </w:p>
    <w:p w14:paraId="01B6B875">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3.法定代表人身份证明书（格式见附件）及法定代表人授权委托书（如有授权，格式见附件）；</w:t>
      </w:r>
    </w:p>
    <w:p w14:paraId="056DE87E">
      <w:pPr>
        <w:widowControl/>
        <w:snapToGrid w:val="0"/>
        <w:spacing w:line="336"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4.供应商须提供《供应商信用承诺书》（格式见附件）；</w:t>
      </w:r>
    </w:p>
    <w:p w14:paraId="3F1A27BA">
      <w:pPr>
        <w:widowControl/>
        <w:snapToGrid w:val="0"/>
        <w:spacing w:line="336" w:lineRule="auto"/>
        <w:ind w:firstLine="480" w:firstLineChars="200"/>
        <w:jc w:val="left"/>
        <w:rPr>
          <w:rFonts w:hint="eastAsia" w:ascii="宋体" w:hAnsi="宋体"/>
          <w:color w:val="000000" w:themeColor="text1"/>
          <w:kern w:val="2"/>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.其他需要提交的资格审查证明材料。</w:t>
      </w:r>
    </w:p>
    <w:p w14:paraId="077D5CC2">
      <w:pPr>
        <w:snapToGrid w:val="0"/>
        <w:spacing w:line="360" w:lineRule="auto"/>
        <w:ind w:firstLine="482" w:firstLineChars="200"/>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b/>
          <w:bCs/>
          <w:color w:val="000000" w:themeColor="text1"/>
          <w:kern w:val="2"/>
          <w:sz w:val="24"/>
          <w:szCs w:val="24"/>
          <w14:textFill>
            <w14:solidFill>
              <w14:schemeClr w14:val="tx1"/>
            </w14:solidFill>
          </w14:textFill>
        </w:rPr>
        <w:t>注：以上材料如为复印件或扫描打印件均需加盖单位公章。</w:t>
      </w:r>
      <w:r>
        <w:rPr>
          <w:rFonts w:hint="eastAsia" w:ascii="宋体" w:hAnsi="宋体" w:cs="宋体"/>
          <w:color w:val="000000" w:themeColor="text1"/>
          <w:kern w:val="2"/>
          <w:sz w:val="24"/>
          <w:szCs w:val="24"/>
          <w14:textFill>
            <w14:solidFill>
              <w14:schemeClr w14:val="tx1"/>
            </w14:solidFill>
          </w14:textFill>
        </w:rPr>
        <w:t xml:space="preserve"> </w:t>
      </w:r>
    </w:p>
    <w:p w14:paraId="6F5C25E3">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二、商务技术</w:t>
      </w:r>
      <w:r>
        <w:rPr>
          <w:rFonts w:hint="eastAsia" w:ascii="宋体" w:hAnsi="宋体"/>
          <w:b/>
          <w:bCs/>
          <w:color w:val="000000" w:themeColor="text1"/>
          <w:sz w:val="24"/>
          <w:szCs w:val="24"/>
          <w:lang w:val="zh-CN"/>
          <w14:textFill>
            <w14:solidFill>
              <w14:schemeClr w14:val="tx1"/>
            </w14:solidFill>
          </w14:textFill>
        </w:rPr>
        <w:t>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单独密封，</w:t>
      </w:r>
      <w:r>
        <w:rPr>
          <w:rFonts w:ascii="宋体" w:hAnsi="宋体"/>
          <w:b/>
          <w:bCs/>
          <w:color w:val="000000" w:themeColor="text1"/>
          <w:sz w:val="24"/>
          <w:szCs w:val="24"/>
          <w:lang w:val="zh-CN"/>
          <w14:textFill>
            <w14:solidFill>
              <w14:schemeClr w14:val="tx1"/>
            </w14:solidFill>
          </w14:textFill>
        </w:rPr>
        <w:t>不能出现</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r>
        <w:rPr>
          <w:rFonts w:hint="eastAsia" w:ascii="宋体" w:hAnsi="宋体"/>
          <w:b/>
          <w:bCs/>
          <w:color w:val="000000" w:themeColor="text1"/>
          <w:sz w:val="24"/>
          <w:szCs w:val="24"/>
          <w:lang w:val="zh-CN"/>
          <w14:textFill>
            <w14:solidFill>
              <w14:schemeClr w14:val="tx1"/>
            </w14:solidFill>
          </w14:textFill>
        </w:rPr>
        <w:t>的内容</w:t>
      </w:r>
      <w:r>
        <w:rPr>
          <w:rFonts w:ascii="宋体" w:hAnsi="宋体"/>
          <w:b/>
          <w:bCs/>
          <w:color w:val="000000" w:themeColor="text1"/>
          <w:sz w:val="24"/>
          <w:szCs w:val="24"/>
          <w:lang w:val="zh-CN"/>
          <w14:textFill>
            <w14:solidFill>
              <w14:schemeClr w14:val="tx1"/>
            </w14:solidFill>
          </w14:textFill>
        </w:rPr>
        <w:t>）</w:t>
      </w:r>
    </w:p>
    <w:p w14:paraId="3D266422">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ascii="宋体" w:hAnsi="宋体"/>
          <w:bCs/>
          <w:color w:val="000000" w:themeColor="text1"/>
          <w:sz w:val="24"/>
          <w:szCs w:val="24"/>
          <w:lang w:val="zh-CN"/>
          <w14:textFill>
            <w14:solidFill>
              <w14:schemeClr w14:val="tx1"/>
            </w14:solidFill>
          </w14:textFill>
        </w:rPr>
        <w:t>1.商务部分正负偏离表（格式见附件）；</w:t>
      </w:r>
    </w:p>
    <w:p w14:paraId="04DC5122">
      <w:pPr>
        <w:adjustRightInd w:val="0"/>
        <w:snapToGrid w:val="0"/>
        <w:spacing w:line="360" w:lineRule="auto"/>
        <w:ind w:firstLine="480" w:firstLineChars="200"/>
        <w:rPr>
          <w:rFonts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zh-CN"/>
          <w14:textFill>
            <w14:solidFill>
              <w14:schemeClr w14:val="tx1"/>
            </w14:solidFill>
          </w14:textFill>
        </w:rPr>
        <w:t>2</w:t>
      </w:r>
      <w:r>
        <w:rPr>
          <w:rFonts w:ascii="宋体" w:hAnsi="宋体"/>
          <w:bCs/>
          <w:color w:val="000000" w:themeColor="text1"/>
          <w:sz w:val="24"/>
          <w:szCs w:val="24"/>
          <w:lang w:val="zh-CN"/>
          <w14:textFill>
            <w14:solidFill>
              <w14:schemeClr w14:val="tx1"/>
            </w14:solidFill>
          </w14:textFill>
        </w:rPr>
        <w:t>.技术部分正负偏离表（格式见附件）；</w:t>
      </w:r>
    </w:p>
    <w:p w14:paraId="0C325C10">
      <w:pPr>
        <w:adjustRightInd w:val="0"/>
        <w:snapToGrid w:val="0"/>
        <w:spacing w:line="360" w:lineRule="auto"/>
        <w:ind w:firstLine="482" w:firstLineChars="200"/>
        <w:rPr>
          <w:rFonts w:hint="default" w:ascii="宋体" w:hAnsi="宋体" w:eastAsia="宋体"/>
          <w:b/>
          <w:bCs w:val="0"/>
          <w:color w:val="FF0000"/>
          <w:sz w:val="24"/>
          <w:szCs w:val="24"/>
          <w:lang w:val="en-US" w:eastAsia="zh-CN"/>
        </w:rPr>
      </w:pPr>
      <w:r>
        <w:rPr>
          <w:rFonts w:hint="eastAsia" w:ascii="宋体" w:hAnsi="宋体"/>
          <w:b/>
          <w:bCs w:val="0"/>
          <w:color w:val="FF0000"/>
          <w:sz w:val="24"/>
          <w:szCs w:val="24"/>
          <w:lang w:val="en-US" w:eastAsia="zh-CN"/>
        </w:rPr>
        <w:t>3.项目需求中实质性响应条款须提供的材料（承诺函格式见附件）；</w:t>
      </w:r>
    </w:p>
    <w:p w14:paraId="13214498">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w:t>
      </w:r>
      <w:r>
        <w:rPr>
          <w:rFonts w:ascii="宋体" w:hAnsi="宋体"/>
          <w:bCs/>
          <w:color w:val="000000" w:themeColor="text1"/>
          <w:sz w:val="24"/>
          <w:szCs w:val="24"/>
          <w:lang w:val="zh-CN"/>
          <w14:textFill>
            <w14:solidFill>
              <w14:schemeClr w14:val="tx1"/>
            </w14:solidFill>
          </w14:textFill>
        </w:rPr>
        <w:t>.商务技术评分标准中须提供的相关得分佐证材料；</w:t>
      </w:r>
    </w:p>
    <w:p w14:paraId="7E513A61">
      <w:pPr>
        <w:adjustRightInd w:val="0"/>
        <w:snapToGrid w:val="0"/>
        <w:spacing w:line="360" w:lineRule="auto"/>
        <w:ind w:firstLine="480" w:firstLineChars="200"/>
        <w:rPr>
          <w:rFonts w:hint="eastAsia" w:ascii="宋体" w:hAnsi="宋体"/>
          <w:bCs/>
          <w:color w:val="000000" w:themeColor="text1"/>
          <w:sz w:val="24"/>
          <w:szCs w:val="24"/>
          <w:lang w:val="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5</w:t>
      </w:r>
      <w:r>
        <w:rPr>
          <w:rFonts w:ascii="宋体" w:hAnsi="宋体"/>
          <w:bCs/>
          <w:color w:val="000000" w:themeColor="text1"/>
          <w:sz w:val="24"/>
          <w:szCs w:val="24"/>
          <w:lang w:val="zh-CN"/>
          <w14:textFill>
            <w14:solidFill>
              <w14:schemeClr w14:val="tx1"/>
            </w14:solidFill>
          </w14:textFill>
        </w:rPr>
        <w:t>.供应商认为需要提交的其他商务技术材料。</w:t>
      </w:r>
    </w:p>
    <w:p w14:paraId="0D39A02A">
      <w:pPr>
        <w:adjustRightInd w:val="0"/>
        <w:snapToGrid w:val="0"/>
        <w:spacing w:line="360" w:lineRule="auto"/>
        <w:ind w:firstLine="482" w:firstLineChars="200"/>
        <w:rPr>
          <w:rFonts w:hint="eastAsia" w:ascii="宋体" w:hAnsi="宋体"/>
          <w:b/>
          <w:bCs/>
          <w:color w:val="000000" w:themeColor="text1"/>
          <w:sz w:val="24"/>
          <w:szCs w:val="24"/>
          <w:lang w:val="zh-CN"/>
          <w14:textFill>
            <w14:solidFill>
              <w14:schemeClr w14:val="tx1"/>
            </w14:solidFill>
          </w14:textFill>
        </w:rPr>
      </w:pPr>
      <w:r>
        <w:rPr>
          <w:rFonts w:ascii="宋体" w:hAnsi="宋体"/>
          <w:b/>
          <w:bCs/>
          <w:color w:val="000000" w:themeColor="text1"/>
          <w:sz w:val="24"/>
          <w:szCs w:val="24"/>
          <w:lang w:val="zh-CN"/>
          <w14:textFill>
            <w14:solidFill>
              <w14:schemeClr w14:val="tx1"/>
            </w14:solidFill>
          </w14:textFill>
        </w:rPr>
        <w:t>三、</w:t>
      </w:r>
      <w:r>
        <w:rPr>
          <w:rFonts w:hint="eastAsia" w:ascii="宋体" w:hAnsi="宋体"/>
          <w:b/>
          <w:bCs/>
          <w:color w:val="000000" w:themeColor="text1"/>
          <w:sz w:val="24"/>
          <w:szCs w:val="24"/>
          <w:lang w:val="zh-CN"/>
          <w14:textFill>
            <w14:solidFill>
              <w14:schemeClr w14:val="tx1"/>
            </w14:solidFill>
          </w14:textFill>
        </w:rPr>
        <w:t>报价响应</w:t>
      </w:r>
      <w:r>
        <w:rPr>
          <w:rFonts w:ascii="宋体" w:hAnsi="宋体"/>
          <w:b/>
          <w:bCs/>
          <w:color w:val="000000" w:themeColor="text1"/>
          <w:sz w:val="24"/>
          <w:szCs w:val="24"/>
          <w:lang w:val="zh-CN"/>
          <w14:textFill>
            <w14:solidFill>
              <w14:schemeClr w14:val="tx1"/>
            </w14:solidFill>
          </w14:textFill>
        </w:rPr>
        <w:t>文件</w:t>
      </w:r>
    </w:p>
    <w:p w14:paraId="76C227B9">
      <w:pPr>
        <w:spacing w:line="360" w:lineRule="auto"/>
        <w:ind w:firstLine="480"/>
        <w:rPr>
          <w:rFonts w:hint="eastAsia" w:ascii="宋体" w:hAnsi="宋体"/>
          <w:color w:val="000000" w:themeColor="text1"/>
          <w:sz w:val="24"/>
          <w:szCs w:val="24"/>
          <w:lang w:val="zh-CN"/>
          <w14:textFill>
            <w14:solidFill>
              <w14:schemeClr w14:val="tx1"/>
            </w14:solidFill>
          </w14:textFill>
        </w:rPr>
      </w:pPr>
      <w:r>
        <w:rPr>
          <w:rFonts w:ascii="宋体" w:hAnsi="宋体"/>
          <w:color w:val="000000" w:themeColor="text1"/>
          <w:sz w:val="24"/>
          <w:szCs w:val="24"/>
          <w:lang w:val="zh-CN"/>
          <w14:textFill>
            <w14:solidFill>
              <w14:schemeClr w14:val="tx1"/>
            </w14:solidFill>
          </w14:textFill>
        </w:rPr>
        <w:t>1.</w:t>
      </w:r>
      <w:r>
        <w:rPr>
          <w:rFonts w:ascii="宋体" w:hAnsi="宋体"/>
          <w:color w:val="000000" w:themeColor="text1"/>
          <w:sz w:val="24"/>
          <w:szCs w:val="24"/>
          <w14:textFill>
            <w14:solidFill>
              <w14:schemeClr w14:val="tx1"/>
            </w14:solidFill>
          </w14:textFill>
        </w:rPr>
        <w:t>报价总表</w:t>
      </w:r>
      <w:r>
        <w:rPr>
          <w:rFonts w:ascii="宋体" w:hAnsi="宋体"/>
          <w:color w:val="000000" w:themeColor="text1"/>
          <w:sz w:val="24"/>
          <w:szCs w:val="24"/>
          <w:lang w:val="zh-CN"/>
          <w14:textFill>
            <w14:solidFill>
              <w14:schemeClr w14:val="tx1"/>
            </w14:solidFill>
          </w14:textFill>
        </w:rPr>
        <w:t>（格式见附件）</w:t>
      </w:r>
      <w:r>
        <w:rPr>
          <w:rFonts w:hint="eastAsia" w:ascii="宋体" w:hAnsi="宋体"/>
          <w:color w:val="000000" w:themeColor="text1"/>
          <w:sz w:val="24"/>
          <w:szCs w:val="24"/>
          <w:lang w:val="zh-CN"/>
          <w14:textFill>
            <w14:solidFill>
              <w14:schemeClr w14:val="tx1"/>
            </w14:solidFill>
          </w14:textFill>
        </w:rPr>
        <w:t>；</w:t>
      </w:r>
    </w:p>
    <w:p w14:paraId="335F8369">
      <w:pPr>
        <w:spacing w:line="360" w:lineRule="auto"/>
        <w:ind w:firstLine="48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2.《中小企业声明函》（如有，格式见附件）；</w:t>
      </w:r>
    </w:p>
    <w:p w14:paraId="2B256CE5">
      <w:pPr>
        <w:spacing w:line="360" w:lineRule="auto"/>
        <w:ind w:firstLine="480"/>
        <w:rPr>
          <w:rFonts w:hint="eastAsia" w:ascii="宋体" w:hAnsi="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3.《残疾人福利性单位声明函》（如有，格式见附件）；</w:t>
      </w:r>
    </w:p>
    <w:p w14:paraId="2D0AEDC9">
      <w:pPr>
        <w:spacing w:line="360" w:lineRule="auto"/>
        <w:ind w:firstLine="480"/>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4.监狱和戒毒企业证明材料（如有，格式见附件）。</w:t>
      </w:r>
    </w:p>
    <w:p w14:paraId="30351D84">
      <w:pPr>
        <w:snapToGrid w:val="0"/>
        <w:spacing w:line="400" w:lineRule="exact"/>
        <w:contextualSpacing/>
        <w:rPr>
          <w:rFonts w:hint="eastAsia" w:ascii="宋体" w:hAnsi="宋体"/>
          <w:color w:val="000000" w:themeColor="text1"/>
          <w:sz w:val="32"/>
          <w:szCs w:val="32"/>
          <w:lang w:val="zh-CN"/>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r>
        <w:rPr>
          <w:rFonts w:ascii="宋体" w:hAnsi="宋体"/>
          <w:color w:val="000000" w:themeColor="text1"/>
          <w:sz w:val="32"/>
          <w:szCs w:val="32"/>
          <w:lang w:val="zh-CN"/>
          <w14:textFill>
            <w14:solidFill>
              <w14:schemeClr w14:val="tx1"/>
            </w14:solidFill>
          </w14:textFill>
        </w:rPr>
        <w:t>附件</w:t>
      </w:r>
    </w:p>
    <w:p w14:paraId="00BA0D59">
      <w:pPr>
        <w:adjustRightInd w:val="0"/>
        <w:snapToGrid w:val="0"/>
        <w:spacing w:line="420" w:lineRule="exact"/>
        <w:jc w:val="center"/>
        <w:rPr>
          <w:rFonts w:ascii="Times New Roman" w:hAnsi="Times New Roman"/>
          <w:b/>
          <w:bCs/>
          <w:color w:val="000000" w:themeColor="text1"/>
          <w:kern w:val="2"/>
          <w:sz w:val="28"/>
          <w:szCs w:val="28"/>
          <w14:textFill>
            <w14:solidFill>
              <w14:schemeClr w14:val="tx1"/>
            </w14:solidFill>
          </w14:textFill>
        </w:rPr>
      </w:pPr>
      <w:r>
        <w:rPr>
          <w:rFonts w:hint="eastAsia" w:ascii="Times New Roman" w:hAnsi="Times New Roman" w:cs="宋体"/>
          <w:b/>
          <w:bCs/>
          <w:color w:val="000000" w:themeColor="text1"/>
          <w:kern w:val="2"/>
          <w:sz w:val="28"/>
          <w:szCs w:val="28"/>
          <w14:textFill>
            <w14:solidFill>
              <w14:schemeClr w14:val="tx1"/>
            </w14:solidFill>
          </w14:textFill>
        </w:rPr>
        <w:t>（封面）</w:t>
      </w:r>
    </w:p>
    <w:p w14:paraId="7C9ED23D">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73F4763A">
      <w:pPr>
        <w:spacing w:before="240" w:beforeLines="100" w:line="360" w:lineRule="exact"/>
        <w:jc w:val="center"/>
        <w:rPr>
          <w:rFonts w:ascii="Times New Roman" w:hAnsi="Times New Roman"/>
          <w:color w:val="000000" w:themeColor="text1"/>
          <w:w w:val="80"/>
          <w:kern w:val="44"/>
          <w:sz w:val="36"/>
          <w:szCs w:val="36"/>
          <w14:textFill>
            <w14:solidFill>
              <w14:schemeClr w14:val="tx1"/>
            </w14:solidFill>
          </w14:textFill>
        </w:rPr>
      </w:pPr>
    </w:p>
    <w:p w14:paraId="3DD189EA">
      <w:pPr>
        <w:spacing w:line="360" w:lineRule="auto"/>
        <w:jc w:val="center"/>
        <w:rPr>
          <w:rFonts w:hint="eastAsia" w:ascii="Times New Roman" w:hAnsi="Times New Roman" w:eastAsia="宋体" w:cs="宋体"/>
          <w:b/>
          <w:bCs/>
          <w:color w:val="000000" w:themeColor="text1"/>
          <w:kern w:val="2"/>
          <w:sz w:val="32"/>
          <w:szCs w:val="32"/>
          <w:lang w:eastAsia="zh-CN"/>
          <w14:textFill>
            <w14:solidFill>
              <w14:schemeClr w14:val="tx1"/>
            </w14:solidFill>
          </w14:textFill>
        </w:rPr>
      </w:pPr>
      <w:r>
        <w:rPr>
          <w:rFonts w:hint="eastAsia" w:ascii="Times New Roman" w:hAnsi="Times New Roman" w:cs="宋体"/>
          <w:b/>
          <w:bCs/>
          <w:color w:val="000000" w:themeColor="text1"/>
          <w:kern w:val="2"/>
          <w:sz w:val="32"/>
          <w:szCs w:val="32"/>
          <w:lang w:eastAsia="zh-CN"/>
          <w14:textFill>
            <w14:solidFill>
              <w14:schemeClr w14:val="tx1"/>
            </w14:solidFill>
          </w14:textFill>
        </w:rPr>
        <w:t>2026年南通市核与辐射建设项目环评文件委托技术评估项目</w:t>
      </w:r>
    </w:p>
    <w:p w14:paraId="137E83BE">
      <w:pPr>
        <w:spacing w:line="360" w:lineRule="auto"/>
        <w:jc w:val="center"/>
        <w:rPr>
          <w:rFonts w:ascii="Times New Roman" w:hAnsi="Times New Roman" w:cs="宋体"/>
          <w:b/>
          <w:bCs/>
          <w:color w:val="000000" w:themeColor="text1"/>
          <w:kern w:val="2"/>
          <w:sz w:val="32"/>
          <w:szCs w:val="32"/>
          <w14:textFill>
            <w14:solidFill>
              <w14:schemeClr w14:val="tx1"/>
            </w14:solidFill>
          </w14:textFill>
        </w:rPr>
      </w:pPr>
      <w:r>
        <w:rPr>
          <w:rFonts w:hint="eastAsia" w:ascii="Times New Roman" w:hAnsi="Times New Roman" w:cs="宋体"/>
          <w:b/>
          <w:bCs/>
          <w:color w:val="000000" w:themeColor="text1"/>
          <w:kern w:val="2"/>
          <w:sz w:val="32"/>
          <w:szCs w:val="32"/>
          <w14:textFill>
            <w14:solidFill>
              <w14:schemeClr w14:val="tx1"/>
            </w14:solidFill>
          </w14:textFill>
        </w:rPr>
        <w:t>项目编号：WY-20260306-005</w:t>
      </w:r>
    </w:p>
    <w:p w14:paraId="7790D27B">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09E7BD4F">
      <w:pPr>
        <w:spacing w:line="360" w:lineRule="auto"/>
        <w:jc w:val="center"/>
        <w:rPr>
          <w:rFonts w:ascii="Times New Roman" w:hAnsi="Times New Roman" w:cs="宋体"/>
          <w:b/>
          <w:bCs/>
          <w:color w:val="000000" w:themeColor="text1"/>
          <w:kern w:val="2"/>
          <w:sz w:val="36"/>
          <w:szCs w:val="36"/>
          <w14:textFill>
            <w14:solidFill>
              <w14:schemeClr w14:val="tx1"/>
            </w14:solidFill>
          </w14:textFill>
        </w:rPr>
      </w:pPr>
    </w:p>
    <w:p w14:paraId="1A5646A9">
      <w:pPr>
        <w:spacing w:line="360" w:lineRule="auto"/>
        <w:jc w:val="center"/>
        <w:rPr>
          <w:rFonts w:ascii="Times New Roman" w:hAnsi="Times New Roman"/>
          <w:b/>
          <w:bCs/>
          <w:color w:val="000000" w:themeColor="text1"/>
          <w:kern w:val="2"/>
          <w:sz w:val="36"/>
          <w:szCs w:val="36"/>
          <w14:textFill>
            <w14:solidFill>
              <w14:schemeClr w14:val="tx1"/>
            </w14:solidFill>
          </w14:textFill>
        </w:rPr>
      </w:pPr>
      <w:r>
        <w:rPr>
          <w:rFonts w:hint="eastAsia" w:ascii="Times New Roman" w:hAnsi="Times New Roman" w:cs="宋体"/>
          <w:b/>
          <w:bCs/>
          <w:color w:val="000000" w:themeColor="text1"/>
          <w:kern w:val="2"/>
          <w:sz w:val="36"/>
          <w:szCs w:val="36"/>
          <w14:textFill>
            <w14:solidFill>
              <w14:schemeClr w14:val="tx1"/>
            </w14:solidFill>
          </w14:textFill>
        </w:rPr>
        <w:t>竞争性磋商响应文件</w:t>
      </w:r>
    </w:p>
    <w:p w14:paraId="7AE17564">
      <w:pPr>
        <w:spacing w:line="520" w:lineRule="exact"/>
        <w:jc w:val="center"/>
        <w:rPr>
          <w:rFonts w:ascii="Times New Roman" w:hAnsi="Times New Roman"/>
          <w:color w:val="000000" w:themeColor="text1"/>
          <w:kern w:val="2"/>
          <w:sz w:val="36"/>
          <w:szCs w:val="36"/>
          <w14:textFill>
            <w14:solidFill>
              <w14:schemeClr w14:val="tx1"/>
            </w14:solidFill>
          </w14:textFill>
        </w:rPr>
      </w:pPr>
    </w:p>
    <w:p w14:paraId="36617FC7">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对应竞争性磋商响应文件，相应填写：资格审查文件</w:t>
      </w:r>
    </w:p>
    <w:p w14:paraId="556FD846">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商务技术响应文件</w:t>
      </w:r>
    </w:p>
    <w:p w14:paraId="3EC8CD3F">
      <w:pPr>
        <w:spacing w:line="360" w:lineRule="auto"/>
        <w:jc w:val="center"/>
        <w:rPr>
          <w:rFonts w:ascii="Times New Roman" w:hAnsi="Times New Roman"/>
          <w:color w:val="000000" w:themeColor="text1"/>
          <w:kern w:val="2"/>
          <w:sz w:val="28"/>
          <w:szCs w:val="28"/>
          <w14:textFill>
            <w14:solidFill>
              <w14:schemeClr w14:val="tx1"/>
            </w14:solidFill>
          </w14:textFill>
        </w:rPr>
      </w:pPr>
      <w:r>
        <w:rPr>
          <w:rFonts w:hint="eastAsia" w:ascii="Times New Roman" w:hAnsi="Times New Roman" w:cs="宋体"/>
          <w:color w:val="000000" w:themeColor="text1"/>
          <w:kern w:val="2"/>
          <w:sz w:val="28"/>
          <w:szCs w:val="28"/>
          <w14:textFill>
            <w14:solidFill>
              <w14:schemeClr w14:val="tx1"/>
            </w14:solidFill>
          </w14:textFill>
        </w:rPr>
        <w:t>报价响应文件</w:t>
      </w:r>
    </w:p>
    <w:p w14:paraId="3876BF3B">
      <w:pPr>
        <w:spacing w:line="360" w:lineRule="exact"/>
        <w:jc w:val="center"/>
        <w:rPr>
          <w:rFonts w:ascii="Times New Roman" w:hAnsi="Times New Roman"/>
          <w:color w:val="000000" w:themeColor="text1"/>
          <w:kern w:val="2"/>
          <w:szCs w:val="21"/>
          <w14:textFill>
            <w14:solidFill>
              <w14:schemeClr w14:val="tx1"/>
            </w14:solidFill>
          </w14:textFill>
        </w:rPr>
      </w:pPr>
    </w:p>
    <w:p w14:paraId="3E931001">
      <w:pPr>
        <w:spacing w:line="360" w:lineRule="exact"/>
        <w:jc w:val="center"/>
        <w:rPr>
          <w:rFonts w:ascii="Times New Roman" w:hAnsi="Times New Roman"/>
          <w:color w:val="000000" w:themeColor="text1"/>
          <w:kern w:val="2"/>
          <w:sz w:val="28"/>
          <w:szCs w:val="28"/>
          <w14:textFill>
            <w14:solidFill>
              <w14:schemeClr w14:val="tx1"/>
            </w14:solidFill>
          </w14:textFill>
        </w:rPr>
      </w:pPr>
    </w:p>
    <w:p w14:paraId="2AD9BA7A">
      <w:pPr>
        <w:spacing w:line="360" w:lineRule="exact"/>
        <w:jc w:val="center"/>
        <w:rPr>
          <w:rFonts w:ascii="Times New Roman" w:hAnsi="Times New Roman"/>
          <w:color w:val="000000" w:themeColor="text1"/>
          <w:kern w:val="2"/>
          <w:szCs w:val="21"/>
          <w14:textFill>
            <w14:solidFill>
              <w14:schemeClr w14:val="tx1"/>
            </w14:solidFill>
          </w14:textFill>
        </w:rPr>
      </w:pPr>
    </w:p>
    <w:p w14:paraId="7DD39210">
      <w:pPr>
        <w:spacing w:line="360" w:lineRule="exact"/>
        <w:jc w:val="center"/>
        <w:rPr>
          <w:rFonts w:ascii="Times New Roman" w:hAnsi="Times New Roman"/>
          <w:color w:val="000000" w:themeColor="text1"/>
          <w:kern w:val="2"/>
          <w:szCs w:val="21"/>
          <w14:textFill>
            <w14:solidFill>
              <w14:schemeClr w14:val="tx1"/>
            </w14:solidFill>
          </w14:textFill>
        </w:rPr>
      </w:pPr>
    </w:p>
    <w:p w14:paraId="38977569">
      <w:pPr>
        <w:spacing w:line="360" w:lineRule="exact"/>
        <w:jc w:val="center"/>
        <w:rPr>
          <w:rFonts w:ascii="Times New Roman" w:hAnsi="Times New Roman"/>
          <w:color w:val="000000" w:themeColor="text1"/>
          <w:kern w:val="2"/>
          <w:szCs w:val="21"/>
          <w14:textFill>
            <w14:solidFill>
              <w14:schemeClr w14:val="tx1"/>
            </w14:solidFill>
          </w14:textFill>
        </w:rPr>
      </w:pPr>
    </w:p>
    <w:p w14:paraId="258011E4">
      <w:pPr>
        <w:spacing w:line="360" w:lineRule="exact"/>
        <w:jc w:val="center"/>
        <w:rPr>
          <w:rFonts w:ascii="Times New Roman" w:hAnsi="Times New Roman"/>
          <w:color w:val="000000" w:themeColor="text1"/>
          <w:kern w:val="2"/>
          <w:szCs w:val="21"/>
          <w14:textFill>
            <w14:solidFill>
              <w14:schemeClr w14:val="tx1"/>
            </w14:solidFill>
          </w14:textFill>
        </w:rPr>
      </w:pPr>
    </w:p>
    <w:p w14:paraId="3D3B1C03">
      <w:pPr>
        <w:spacing w:line="360" w:lineRule="exact"/>
        <w:jc w:val="center"/>
        <w:rPr>
          <w:rFonts w:ascii="Times New Roman" w:hAnsi="Times New Roman"/>
          <w:color w:val="000000" w:themeColor="text1"/>
          <w:kern w:val="2"/>
          <w:szCs w:val="21"/>
          <w14:textFill>
            <w14:solidFill>
              <w14:schemeClr w14:val="tx1"/>
            </w14:solidFill>
          </w14:textFill>
        </w:rPr>
      </w:pPr>
    </w:p>
    <w:p w14:paraId="1FAE842C">
      <w:pPr>
        <w:spacing w:line="360" w:lineRule="exact"/>
        <w:jc w:val="center"/>
        <w:rPr>
          <w:rFonts w:ascii="Times New Roman" w:hAnsi="Times New Roman"/>
          <w:color w:val="000000" w:themeColor="text1"/>
          <w:kern w:val="2"/>
          <w:szCs w:val="21"/>
          <w14:textFill>
            <w14:solidFill>
              <w14:schemeClr w14:val="tx1"/>
            </w14:solidFill>
          </w14:textFill>
        </w:rPr>
      </w:pPr>
    </w:p>
    <w:p w14:paraId="051140BD">
      <w:pPr>
        <w:spacing w:line="360" w:lineRule="exact"/>
        <w:jc w:val="center"/>
        <w:rPr>
          <w:rFonts w:ascii="Times New Roman" w:hAnsi="Times New Roman"/>
          <w:color w:val="000000" w:themeColor="text1"/>
          <w:kern w:val="2"/>
          <w:szCs w:val="21"/>
          <w14:textFill>
            <w14:solidFill>
              <w14:schemeClr w14:val="tx1"/>
            </w14:solidFill>
          </w14:textFill>
        </w:rPr>
      </w:pPr>
    </w:p>
    <w:p w14:paraId="01ED4158">
      <w:pPr>
        <w:rPr>
          <w:rFonts w:ascii="Times New Roman" w:hAnsi="Times New Roman"/>
          <w:color w:val="000000" w:themeColor="text1"/>
          <w:szCs w:val="21"/>
          <w14:textFill>
            <w14:solidFill>
              <w14:schemeClr w14:val="tx1"/>
            </w14:solidFill>
          </w14:textFill>
        </w:rPr>
      </w:pPr>
    </w:p>
    <w:p w14:paraId="05F086AB">
      <w:pPr>
        <w:spacing w:line="360" w:lineRule="exact"/>
        <w:jc w:val="center"/>
        <w:rPr>
          <w:rFonts w:ascii="Times New Roman" w:hAnsi="Times New Roman"/>
          <w:color w:val="000000" w:themeColor="text1"/>
          <w:kern w:val="2"/>
          <w:szCs w:val="21"/>
          <w14:textFill>
            <w14:solidFill>
              <w14:schemeClr w14:val="tx1"/>
            </w14:solidFill>
          </w14:textFill>
        </w:rPr>
      </w:pPr>
    </w:p>
    <w:p w14:paraId="776AFC5A">
      <w:pPr>
        <w:adjustRightInd w:val="0"/>
        <w:snapToGrid w:val="0"/>
        <w:spacing w:line="480" w:lineRule="auto"/>
        <w:jc w:val="center"/>
        <w:rPr>
          <w:rFonts w:ascii="Times New Roman" w:hAnsi="Times New Roman"/>
          <w:color w:val="000000" w:themeColor="text1"/>
          <w:kern w:val="2"/>
          <w:sz w:val="30"/>
          <w:szCs w:val="30"/>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供应商：供应商全称</w:t>
      </w:r>
    </w:p>
    <w:p w14:paraId="5E5FFC4C">
      <w:pPr>
        <w:snapToGrid w:val="0"/>
        <w:spacing w:line="480" w:lineRule="auto"/>
        <w:jc w:val="center"/>
        <w:rPr>
          <w:rFonts w:ascii="Times New Roman" w:hAnsi="Times New Roman" w:cs="宋体"/>
          <w:color w:val="000000" w:themeColor="text1"/>
          <w:kern w:val="2"/>
          <w:sz w:val="36"/>
          <w:szCs w:val="36"/>
          <w14:textFill>
            <w14:solidFill>
              <w14:schemeClr w14:val="tx1"/>
            </w14:solidFill>
          </w14:textFill>
        </w:rPr>
      </w:pPr>
      <w:r>
        <w:rPr>
          <w:rFonts w:hint="eastAsia" w:ascii="Times New Roman" w:hAnsi="Times New Roman" w:cs="宋体"/>
          <w:color w:val="000000" w:themeColor="text1"/>
          <w:kern w:val="2"/>
          <w:sz w:val="30"/>
          <w:szCs w:val="30"/>
          <w14:textFill>
            <w14:solidFill>
              <w14:schemeClr w14:val="tx1"/>
            </w14:solidFill>
          </w14:textFill>
        </w:rPr>
        <w:t>二〇二六年 月 日</w:t>
      </w:r>
    </w:p>
    <w:p w14:paraId="235EEB05">
      <w:pPr>
        <w:jc w:val="center"/>
        <w:rPr>
          <w:rFonts w:hint="eastAsia" w:ascii="宋体" w:hAnsi="宋体"/>
          <w:b/>
          <w:color w:val="000000" w:themeColor="text1"/>
          <w:kern w:val="2"/>
          <w:sz w:val="30"/>
          <w:szCs w:val="30"/>
          <w14:textFill>
            <w14:solidFill>
              <w14:schemeClr w14:val="tx1"/>
            </w14:solidFill>
          </w14:textFill>
        </w:rPr>
      </w:pPr>
      <w:r>
        <w:rPr>
          <w:rFonts w:ascii="宋体" w:hAnsi="宋体"/>
          <w:b/>
          <w:bCs/>
          <w:color w:val="000000" w:themeColor="text1"/>
          <w:kern w:val="2"/>
          <w:sz w:val="24"/>
          <w:szCs w:val="24"/>
          <w:u w:val="single"/>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符合</w:t>
      </w:r>
      <w:r>
        <w:rPr>
          <w:rFonts w:hint="eastAsia" w:ascii="宋体" w:hAnsi="宋体"/>
          <w:b/>
          <w:color w:val="000000" w:themeColor="text1"/>
          <w:kern w:val="2"/>
          <w:sz w:val="30"/>
          <w:szCs w:val="30"/>
          <w:lang w:val="en-US" w:eastAsia="zh-CN"/>
          <w14:textFill>
            <w14:solidFill>
              <w14:schemeClr w14:val="tx1"/>
            </w14:solidFill>
          </w14:textFill>
        </w:rPr>
        <w:t>条件</w:t>
      </w:r>
      <w:r>
        <w:rPr>
          <w:rFonts w:hint="eastAsia" w:ascii="宋体" w:hAnsi="宋体"/>
          <w:b/>
          <w:color w:val="000000" w:themeColor="text1"/>
          <w:kern w:val="2"/>
          <w:sz w:val="30"/>
          <w:szCs w:val="30"/>
          <w14:textFill>
            <w14:solidFill>
              <w14:schemeClr w14:val="tx1"/>
            </w14:solidFill>
          </w14:textFill>
        </w:rPr>
        <w:t>的声明函</w:t>
      </w:r>
    </w:p>
    <w:p w14:paraId="0B6AD884">
      <w:pPr>
        <w:spacing w:line="460" w:lineRule="exact"/>
        <w:rPr>
          <w:rFonts w:hint="eastAsia" w:ascii="宋体" w:hAnsi="宋体"/>
          <w:b/>
          <w:bCs/>
          <w:color w:val="000000" w:themeColor="text1"/>
          <w:kern w:val="2"/>
          <w:sz w:val="44"/>
          <w:szCs w:val="44"/>
          <w14:textFill>
            <w14:solidFill>
              <w14:schemeClr w14:val="tx1"/>
            </w14:solidFill>
          </w14:textFill>
        </w:rPr>
      </w:pPr>
    </w:p>
    <w:p w14:paraId="1D00EE30">
      <w:pPr>
        <w:spacing w:line="520" w:lineRule="exact"/>
        <w:ind w:firstLine="480" w:firstLineChars="200"/>
        <w:rPr>
          <w:rFonts w:hint="eastAsia" w:ascii="宋体" w:hAnsi="宋体"/>
          <w:b/>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我单位参加</w:t>
      </w:r>
      <w:r>
        <w:rPr>
          <w:rFonts w:hint="eastAsia" w:ascii="宋体" w:hAnsi="宋体"/>
          <w:bCs/>
          <w:color w:val="000000" w:themeColor="text1"/>
          <w:kern w:val="2"/>
          <w:sz w:val="24"/>
          <w:szCs w:val="21"/>
          <w:u w:val="single"/>
          <w14:textFill>
            <w14:solidFill>
              <w14:schemeClr w14:val="tx1"/>
            </w14:solidFill>
          </w14:textFill>
        </w:rPr>
        <w:t>_       （项目名称）_【项目编号：  】</w:t>
      </w:r>
      <w:r>
        <w:rPr>
          <w:rFonts w:hint="eastAsia" w:ascii="宋体" w:hAnsi="宋体"/>
          <w:bCs/>
          <w:color w:val="000000" w:themeColor="text1"/>
          <w:kern w:val="2"/>
          <w:sz w:val="24"/>
          <w:szCs w:val="21"/>
          <w14:textFill>
            <w14:solidFill>
              <w14:schemeClr w14:val="tx1"/>
            </w14:solidFill>
          </w14:textFill>
        </w:rPr>
        <w:t>的磋商活动。现做出如下声明：</w:t>
      </w:r>
    </w:p>
    <w:p w14:paraId="47BE5DA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1.我单位具有独立承担民事责任的能力；</w:t>
      </w:r>
    </w:p>
    <w:p w14:paraId="6D1CEFE4">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2.我单位具有良好的商业信誉和健全的财务会计制度；</w:t>
      </w:r>
    </w:p>
    <w:p w14:paraId="0A2BFE8F">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3.我单位具有履行合同所必需的设备和专业技术能力；</w:t>
      </w:r>
    </w:p>
    <w:p w14:paraId="54D169D2">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4.我单位有依法缴纳税收和社会保障资金的良好记录；</w:t>
      </w:r>
    </w:p>
    <w:p w14:paraId="00D58E23">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5.我单位参加本次采购活动前三年内，在经营活动中没有重大违法记录；</w:t>
      </w:r>
    </w:p>
    <w:p w14:paraId="1BBA76F6">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在参加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B726F38">
      <w:pPr>
        <w:spacing w:line="520" w:lineRule="exact"/>
        <w:ind w:firstLine="482"/>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6.我单位满足法律、行政法规规定的其他条件。</w:t>
      </w:r>
    </w:p>
    <w:p w14:paraId="502190FF">
      <w:pPr>
        <w:spacing w:line="500" w:lineRule="exact"/>
        <w:ind w:firstLine="482"/>
        <w:rPr>
          <w:rFonts w:hint="eastAsia" w:ascii="宋体" w:hAnsi="宋体"/>
          <w:color w:val="000000" w:themeColor="text1"/>
          <w:kern w:val="2"/>
          <w:sz w:val="24"/>
          <w:szCs w:val="24"/>
          <w14:textFill>
            <w14:solidFill>
              <w14:schemeClr w14:val="tx1"/>
            </w14:solidFill>
          </w14:textFill>
        </w:rPr>
      </w:pPr>
    </w:p>
    <w:p w14:paraId="32C45A1C">
      <w:pPr>
        <w:spacing w:line="500" w:lineRule="exact"/>
        <w:rPr>
          <w:rFonts w:hint="eastAsia" w:ascii="宋体" w:hAnsi="宋体"/>
          <w:color w:val="000000" w:themeColor="text1"/>
          <w:kern w:val="2"/>
          <w:sz w:val="24"/>
          <w:szCs w:val="24"/>
          <w14:textFill>
            <w14:solidFill>
              <w14:schemeClr w14:val="tx1"/>
            </w14:solidFill>
          </w14:textFill>
        </w:rPr>
      </w:pPr>
    </w:p>
    <w:p w14:paraId="31C1A4FC">
      <w:pPr>
        <w:spacing w:line="500" w:lineRule="exact"/>
        <w:rPr>
          <w:rFonts w:hint="eastAsia" w:ascii="宋体" w:hAnsi="宋体"/>
          <w:bCs/>
          <w:color w:val="000000" w:themeColor="text1"/>
          <w:kern w:val="2"/>
          <w:sz w:val="24"/>
          <w:szCs w:val="21"/>
          <w14:textFill>
            <w14:solidFill>
              <w14:schemeClr w14:val="tx1"/>
            </w14:solidFill>
          </w14:textFill>
        </w:rPr>
      </w:pPr>
    </w:p>
    <w:p w14:paraId="6CE335F4">
      <w:pPr>
        <w:spacing w:line="500" w:lineRule="exact"/>
        <w:rPr>
          <w:rFonts w:hint="eastAsia" w:ascii="宋体" w:hAnsi="宋体"/>
          <w:bCs/>
          <w:color w:val="000000" w:themeColor="text1"/>
          <w:kern w:val="2"/>
          <w:sz w:val="24"/>
          <w:szCs w:val="21"/>
          <w14:textFill>
            <w14:solidFill>
              <w14:schemeClr w14:val="tx1"/>
            </w14:solidFill>
          </w14:textFill>
        </w:rPr>
      </w:pPr>
    </w:p>
    <w:p w14:paraId="6399CCBF">
      <w:pPr>
        <w:spacing w:line="500" w:lineRule="exact"/>
        <w:rPr>
          <w:rFonts w:hint="eastAsia" w:ascii="宋体" w:hAnsi="宋体"/>
          <w:bCs/>
          <w:color w:val="000000" w:themeColor="text1"/>
          <w:kern w:val="2"/>
          <w:sz w:val="24"/>
          <w:szCs w:val="21"/>
          <w14:textFill>
            <w14:solidFill>
              <w14:schemeClr w14:val="tx1"/>
            </w14:solidFill>
          </w14:textFill>
        </w:rPr>
      </w:pPr>
    </w:p>
    <w:p w14:paraId="1E50A603">
      <w:pPr>
        <w:spacing w:line="460" w:lineRule="exact"/>
        <w:jc w:val="center"/>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声明人名称：</w:t>
      </w:r>
      <w:r>
        <w:rPr>
          <w:rFonts w:hint="eastAsia" w:ascii="宋体" w:hAnsi="宋体"/>
          <w:bCs/>
          <w:color w:val="000000" w:themeColor="text1"/>
          <w:kern w:val="2"/>
          <w:sz w:val="24"/>
          <w:szCs w:val="21"/>
          <w:u w:val="single"/>
          <w14:textFill>
            <w14:solidFill>
              <w14:schemeClr w14:val="tx1"/>
            </w14:solidFill>
          </w14:textFill>
        </w:rPr>
        <w:t>___________</w:t>
      </w:r>
      <w:r>
        <w:rPr>
          <w:rFonts w:hint="eastAsia" w:ascii="宋体" w:hAnsi="宋体"/>
          <w:bCs/>
          <w:color w:val="000000" w:themeColor="text1"/>
          <w:kern w:val="2"/>
          <w:sz w:val="24"/>
          <w:szCs w:val="21"/>
          <w14:textFill>
            <w14:solidFill>
              <w14:schemeClr w14:val="tx1"/>
            </w14:solidFill>
          </w14:textFill>
        </w:rPr>
        <w:t>（公章）</w:t>
      </w:r>
    </w:p>
    <w:p w14:paraId="16FD86C7">
      <w:pPr>
        <w:spacing w:line="460" w:lineRule="exact"/>
        <w:jc w:val="right"/>
        <w:rPr>
          <w:rFonts w:hint="eastAsia" w:ascii="宋体" w:hAnsi="宋体"/>
          <w:bCs/>
          <w:color w:val="000000" w:themeColor="text1"/>
          <w:kern w:val="2"/>
          <w:sz w:val="24"/>
          <w:szCs w:val="21"/>
          <w14:textFill>
            <w14:solidFill>
              <w14:schemeClr w14:val="tx1"/>
            </w14:solidFill>
          </w14:textFill>
        </w:rPr>
      </w:pPr>
    </w:p>
    <w:p w14:paraId="172830ED">
      <w:pPr>
        <w:spacing w:line="460" w:lineRule="exact"/>
        <w:jc w:val="right"/>
        <w:rPr>
          <w:rFonts w:hint="eastAsia" w:ascii="宋体" w:hAnsi="宋体"/>
          <w:bCs/>
          <w:color w:val="000000" w:themeColor="text1"/>
          <w:kern w:val="2"/>
          <w:sz w:val="24"/>
          <w:szCs w:val="21"/>
          <w14:textFill>
            <w14:solidFill>
              <w14:schemeClr w14:val="tx1"/>
            </w14:solidFill>
          </w14:textFill>
        </w:rPr>
      </w:pPr>
      <w:r>
        <w:rPr>
          <w:rFonts w:hint="eastAsia" w:ascii="宋体" w:hAnsi="宋体"/>
          <w:bCs/>
          <w:color w:val="000000" w:themeColor="text1"/>
          <w:kern w:val="2"/>
          <w:sz w:val="24"/>
          <w:szCs w:val="21"/>
          <w14:textFill>
            <w14:solidFill>
              <w14:schemeClr w14:val="tx1"/>
            </w14:solidFill>
          </w14:textFill>
        </w:rPr>
        <w:t xml:space="preserve">                                 日期：  年  月  日</w:t>
      </w:r>
    </w:p>
    <w:p w14:paraId="7BE9A32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D24EBB4">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1C733ED2">
      <w:pPr>
        <w:snapToGrid w:val="0"/>
        <w:spacing w:line="400" w:lineRule="exact"/>
        <w:contextualSpacing/>
        <w:rPr>
          <w:rFonts w:hint="eastAsia" w:ascii="宋体" w:hAnsi="宋体" w:cs="宋体"/>
          <w:b/>
          <w:color w:val="000000" w:themeColor="text1"/>
          <w:sz w:val="28"/>
          <w:szCs w:val="28"/>
          <w:lang w:val="zh-CN"/>
          <w14:textFill>
            <w14:solidFill>
              <w14:schemeClr w14:val="tx1"/>
            </w14:solidFill>
          </w14:textFill>
        </w:rPr>
      </w:pPr>
    </w:p>
    <w:p w14:paraId="0C3DBD62">
      <w:pPr>
        <w:snapToGrid w:val="0"/>
        <w:spacing w:line="400" w:lineRule="exact"/>
        <w:contextualSpacing/>
        <w:rPr>
          <w:rFonts w:hint="eastAsia" w:ascii="宋体" w:hAnsi="宋体"/>
          <w:b/>
          <w:bCs/>
          <w:color w:val="000000" w:themeColor="text1"/>
          <w:kern w:val="2"/>
          <w:sz w:val="32"/>
          <w:szCs w:val="32"/>
          <w14:textFill>
            <w14:solidFill>
              <w14:schemeClr w14:val="tx1"/>
            </w14:solidFill>
          </w14:textFill>
        </w:rPr>
      </w:pPr>
      <w:r>
        <w:rPr>
          <w:rFonts w:ascii="宋体" w:hAnsi="宋体"/>
          <w:color w:val="000000" w:themeColor="text1"/>
          <w:sz w:val="32"/>
          <w:szCs w:val="32"/>
          <w:lang w:val="zh-CN"/>
          <w14:textFill>
            <w14:solidFill>
              <w14:schemeClr w14:val="tx1"/>
            </w14:solidFill>
          </w14:textFill>
        </w:rPr>
        <w:br w:type="page"/>
      </w:r>
    </w:p>
    <w:p w14:paraId="379709D5">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法定代表人身份证明</w:t>
      </w:r>
    </w:p>
    <w:p w14:paraId="3860F0D1">
      <w:pPr>
        <w:spacing w:line="480" w:lineRule="exact"/>
        <w:rPr>
          <w:rFonts w:hint="eastAsia" w:ascii="宋体" w:hAnsi="宋体"/>
          <w:color w:val="000000" w:themeColor="text1"/>
          <w:kern w:val="2"/>
          <w:sz w:val="24"/>
          <w:szCs w:val="24"/>
          <w14:textFill>
            <w14:solidFill>
              <w14:schemeClr w14:val="tx1"/>
            </w14:solidFill>
          </w14:textFill>
        </w:rPr>
      </w:pPr>
    </w:p>
    <w:p w14:paraId="0BEF59A4">
      <w:pPr>
        <w:spacing w:line="480" w:lineRule="exact"/>
        <w:ind w:firstLine="480" w:firstLineChars="200"/>
        <w:rPr>
          <w:rFonts w:hint="eastAsia" w:ascii="宋体" w:hAnsi="宋体"/>
          <w:kern w:val="2"/>
          <w:sz w:val="24"/>
          <w:szCs w:val="24"/>
        </w:rPr>
      </w:pPr>
      <w:r>
        <w:rPr>
          <w:rFonts w:ascii="宋体" w:hAnsi="宋体"/>
          <w:kern w:val="2"/>
          <w:sz w:val="24"/>
          <w:szCs w:val="24"/>
          <w:u w:val="single"/>
        </w:rPr>
        <w:t xml:space="preserve">        </w:t>
      </w:r>
      <w:r>
        <w:rPr>
          <w:rFonts w:hint="eastAsia" w:ascii="宋体" w:hAnsi="宋体"/>
          <w:kern w:val="2"/>
          <w:sz w:val="24"/>
          <w:szCs w:val="24"/>
        </w:rPr>
        <w:t>先生/女士：</w:t>
      </w:r>
      <w:r>
        <w:rPr>
          <w:rFonts w:ascii="宋体" w:hAnsi="宋体"/>
          <w:kern w:val="2"/>
          <w:sz w:val="24"/>
          <w:szCs w:val="24"/>
        </w:rPr>
        <w:t xml:space="preserve"> </w:t>
      </w:r>
      <w:r>
        <w:rPr>
          <w:rFonts w:hint="eastAsia" w:ascii="宋体" w:hAnsi="宋体"/>
          <w:kern w:val="2"/>
          <w:sz w:val="24"/>
          <w:szCs w:val="24"/>
        </w:rPr>
        <w:t>现任我单位</w:t>
      </w:r>
      <w:r>
        <w:rPr>
          <w:rFonts w:ascii="宋体" w:hAnsi="宋体"/>
          <w:kern w:val="2"/>
          <w:sz w:val="24"/>
          <w:szCs w:val="24"/>
          <w:u w:val="single"/>
        </w:rPr>
        <w:t xml:space="preserve">        </w:t>
      </w:r>
      <w:r>
        <w:rPr>
          <w:rFonts w:hint="eastAsia" w:ascii="宋体" w:hAnsi="宋体"/>
          <w:kern w:val="2"/>
          <w:sz w:val="24"/>
          <w:szCs w:val="24"/>
        </w:rPr>
        <w:t>职务，为法定代表人，特此证明。</w:t>
      </w:r>
    </w:p>
    <w:p w14:paraId="784EB17B">
      <w:pPr>
        <w:spacing w:line="480" w:lineRule="exact"/>
        <w:ind w:firstLine="480"/>
        <w:rPr>
          <w:rFonts w:hint="eastAsia" w:ascii="宋体" w:hAnsi="宋体"/>
          <w:kern w:val="2"/>
          <w:sz w:val="24"/>
          <w:szCs w:val="24"/>
          <w:u w:val="single"/>
        </w:rPr>
      </w:pPr>
      <w:r>
        <w:rPr>
          <w:rFonts w:hint="eastAsia" w:ascii="宋体" w:hAnsi="宋体"/>
          <w:kern w:val="2"/>
          <w:sz w:val="24"/>
          <w:szCs w:val="24"/>
        </w:rPr>
        <w:t>身份证号码：</w:t>
      </w:r>
      <w:r>
        <w:rPr>
          <w:rFonts w:ascii="宋体" w:hAnsi="宋体"/>
          <w:kern w:val="2"/>
          <w:sz w:val="24"/>
          <w:szCs w:val="24"/>
          <w:u w:val="single"/>
        </w:rPr>
        <w:t xml:space="preserve">                                    </w:t>
      </w:r>
    </w:p>
    <w:p w14:paraId="28D9D094">
      <w:pPr>
        <w:spacing w:line="480" w:lineRule="exact"/>
        <w:ind w:firstLine="480"/>
        <w:rPr>
          <w:rFonts w:hint="eastAsia" w:ascii="宋体" w:hAnsi="宋体"/>
          <w:color w:val="000000" w:themeColor="text1"/>
          <w:kern w:val="2"/>
          <w:sz w:val="24"/>
          <w:szCs w:val="24"/>
          <w14:textFill>
            <w14:solidFill>
              <w14:schemeClr w14:val="tx1"/>
            </w14:solidFill>
          </w14:textFill>
        </w:rPr>
      </w:pPr>
    </w:p>
    <w:p w14:paraId="0EB2BC26">
      <w:pPr>
        <w:snapToGrid w:val="0"/>
        <w:spacing w:line="420" w:lineRule="exact"/>
        <w:ind w:right="960" w:firstLine="404" w:firstLineChars="202"/>
        <w:jc w:val="center"/>
        <w:textAlignment w:val="baseline"/>
        <w:rPr>
          <w:rFonts w:ascii="Times New Roman" w:hAnsi="Times New Roman"/>
          <w:color w:val="000000" w:themeColor="text1"/>
          <w:kern w:val="2"/>
          <w:sz w:val="20"/>
          <w:szCs w:val="21"/>
          <w14:textFill>
            <w14:solidFill>
              <w14:schemeClr w14:val="tx1"/>
            </w14:solidFill>
          </w14:textFill>
        </w:rPr>
      </w:pPr>
    </w:p>
    <w:p w14:paraId="79E8A54A">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59"/>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41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6D19FD85">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191FB80D">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70E49161">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法定代表人身份证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0BAA1B18">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17DE2E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419A7E3F">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EEA0D94">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2F2DA18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0499B6B9">
      <w:pPr>
        <w:spacing w:line="600" w:lineRule="exact"/>
        <w:rPr>
          <w:rFonts w:hint="eastAsia" w:ascii="宋体" w:hAnsi="宋体"/>
          <w:b/>
          <w:color w:val="000000" w:themeColor="text1"/>
          <w:kern w:val="2"/>
          <w:sz w:val="24"/>
          <w:szCs w:val="24"/>
          <w14:textFill>
            <w14:solidFill>
              <w14:schemeClr w14:val="tx1"/>
            </w14:solidFill>
          </w14:textFill>
        </w:rPr>
      </w:pPr>
    </w:p>
    <w:p w14:paraId="1803770E">
      <w:pPr>
        <w:spacing w:line="480" w:lineRule="exact"/>
        <w:ind w:firstLine="480" w:firstLineChars="200"/>
        <w:rPr>
          <w:rFonts w:hint="eastAsia" w:ascii="宋体" w:hAnsi="宋体"/>
          <w:color w:val="000000" w:themeColor="text1"/>
          <w:kern w:val="2"/>
          <w:sz w:val="24"/>
          <w:szCs w:val="24"/>
          <w14:textFill>
            <w14:solidFill>
              <w14:schemeClr w14:val="tx1"/>
            </w14:solidFill>
          </w14:textFill>
        </w:rPr>
      </w:pPr>
    </w:p>
    <w:p w14:paraId="57FB0F21">
      <w:pPr>
        <w:rPr>
          <w:rFonts w:hint="eastAsia" w:ascii="宋体" w:hAnsi="宋体"/>
          <w:color w:val="000000" w:themeColor="text1"/>
          <w:kern w:val="2"/>
          <w:szCs w:val="24"/>
          <w14:textFill>
            <w14:solidFill>
              <w14:schemeClr w14:val="tx1"/>
            </w14:solidFill>
          </w14:textFill>
        </w:rPr>
      </w:pPr>
    </w:p>
    <w:p w14:paraId="558043E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4BA93E5">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4C885E4">
      <w:pPr>
        <w:snapToGrid w:val="0"/>
        <w:spacing w:line="420" w:lineRule="exact"/>
        <w:ind w:right="960"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4BC56387">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p w14:paraId="6E881ADD">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67B94E8">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7E0C7599">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p>
    <w:p w14:paraId="3F086F62">
      <w:pPr>
        <w:snapToGrid w:val="0"/>
        <w:spacing w:line="400" w:lineRule="exact"/>
        <w:ind w:firstLine="540" w:firstLineChars="192"/>
        <w:contextualSpacing/>
        <w:rPr>
          <w:rFonts w:hint="eastAsia" w:ascii="宋体" w:hAnsi="宋体" w:cs="宋体"/>
          <w:b/>
          <w:color w:val="000000" w:themeColor="text1"/>
          <w:sz w:val="28"/>
          <w:szCs w:val="28"/>
          <w:lang w:val="zh-CN"/>
          <w14:textFill>
            <w14:solidFill>
              <w14:schemeClr w14:val="tx1"/>
            </w14:solidFill>
          </w14:textFill>
        </w:rPr>
      </w:pPr>
      <w:r>
        <w:rPr>
          <w:rFonts w:ascii="宋体" w:hAnsi="宋体" w:cs="宋体"/>
          <w:b/>
          <w:color w:val="000000" w:themeColor="text1"/>
          <w:sz w:val="28"/>
          <w:szCs w:val="28"/>
          <w:lang w:val="zh-CN"/>
          <w14:textFill>
            <w14:solidFill>
              <w14:schemeClr w14:val="tx1"/>
            </w14:solidFill>
          </w14:textFill>
        </w:rPr>
        <w:br w:type="page"/>
      </w:r>
    </w:p>
    <w:p w14:paraId="41A5E5BB">
      <w:pPr>
        <w:snapToGrid w:val="0"/>
        <w:spacing w:line="360" w:lineRule="auto"/>
        <w:jc w:val="center"/>
        <w:rPr>
          <w:rFonts w:hint="eastAsia" w:ascii="宋体" w:hAnsi="宋体"/>
          <w:b/>
          <w:color w:val="000000" w:themeColor="text1"/>
          <w:kern w:val="2"/>
          <w:sz w:val="30"/>
          <w:szCs w:val="30"/>
          <w14:textFill>
            <w14:solidFill>
              <w14:schemeClr w14:val="tx1"/>
            </w14:solidFill>
          </w14:textFill>
        </w:rPr>
      </w:pPr>
      <w:r>
        <w:rPr>
          <w:rFonts w:hint="eastAsia" w:ascii="宋体" w:hAnsi="宋体"/>
          <w:b/>
          <w:color w:val="000000" w:themeColor="text1"/>
          <w:kern w:val="2"/>
          <w:sz w:val="30"/>
          <w:szCs w:val="30"/>
          <w14:textFill>
            <w14:solidFill>
              <w14:schemeClr w14:val="tx1"/>
            </w14:solidFill>
          </w14:textFill>
        </w:rPr>
        <w:t>法定代表人授权委托书</w:t>
      </w:r>
    </w:p>
    <w:p w14:paraId="146B1CB0">
      <w:pPr>
        <w:rPr>
          <w:rFonts w:hint="eastAsia" w:ascii="宋体" w:hAnsi="宋体"/>
          <w:color w:val="000000" w:themeColor="text1"/>
          <w:kern w:val="2"/>
          <w:sz w:val="32"/>
          <w:szCs w:val="32"/>
          <w14:textFill>
            <w14:solidFill>
              <w14:schemeClr w14:val="tx1"/>
            </w14:solidFill>
          </w14:textFill>
        </w:rPr>
      </w:pPr>
    </w:p>
    <w:p w14:paraId="6C385909">
      <w:pPr>
        <w:snapToGrid w:val="0"/>
        <w:spacing w:line="360" w:lineRule="auto"/>
        <w:rPr>
          <w:rFonts w:ascii="宋体" w:hAnsi="Times New Roman"/>
          <w:color w:val="000000" w:themeColor="text1"/>
          <w:kern w:val="2"/>
          <w:sz w:val="24"/>
          <w:szCs w:val="24"/>
          <w:u w:val="single"/>
          <w14:textFill>
            <w14:solidFill>
              <w14:schemeClr w14:val="tx1"/>
            </w14:solidFill>
          </w14:textFill>
        </w:rPr>
      </w:pPr>
      <w:r>
        <w:rPr>
          <w:rFonts w:hint="eastAsia" w:ascii="宋体" w:hAnsi="宋体" w:cs="宋体"/>
          <w:color w:val="000000" w:themeColor="text1"/>
          <w:kern w:val="2"/>
          <w:sz w:val="24"/>
          <w:szCs w:val="24"/>
          <w:u w:val="single"/>
          <w14:textFill>
            <w14:solidFill>
              <w14:schemeClr w14:val="tx1"/>
            </w14:solidFill>
          </w14:textFill>
        </w:rPr>
        <w:t>南通市生态环境局：</w:t>
      </w:r>
    </w:p>
    <w:p w14:paraId="48BCAAF3">
      <w:pPr>
        <w:snapToGrid w:val="0"/>
        <w:spacing w:line="360" w:lineRule="auto"/>
        <w:ind w:firstLine="484" w:firstLineChars="202"/>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本授权委托书声明：我</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（姓名）系</w:t>
      </w:r>
      <w:r>
        <w:rPr>
          <w:rFonts w:hint="eastAsia" w:ascii="Times New Roman" w:hAnsi="Times New Roman" w:cs="宋体"/>
          <w:color w:val="000000" w:themeColor="text1"/>
          <w:kern w:val="2"/>
          <w:sz w:val="24"/>
          <w:szCs w:val="24"/>
          <w:u w:val="single" w:color="000000"/>
          <w14:textFill>
            <w14:solidFill>
              <w14:schemeClr w14:val="tx1"/>
            </w14:solidFill>
          </w14:textFill>
        </w:rPr>
        <w:t xml:space="preserve">　                     </w:t>
      </w:r>
      <w:r>
        <w:rPr>
          <w:rFonts w:hint="eastAsia" w:ascii="Times New Roman" w:hAnsi="Times New Roman" w:cs="宋体"/>
          <w:color w:val="000000" w:themeColor="text1"/>
          <w:kern w:val="2"/>
          <w:sz w:val="24"/>
          <w:szCs w:val="24"/>
          <w14:textFill>
            <w14:solidFill>
              <w14:schemeClr w14:val="tx1"/>
            </w14:solidFill>
          </w14:textFill>
        </w:rPr>
        <w:t>（供应商名称）的法定代表人，现授权委托</w:t>
      </w:r>
      <w:r>
        <w:rPr>
          <w:rFonts w:hint="eastAsia" w:ascii="Times New Roman" w:hAnsi="Times New Roman" w:cs="宋体"/>
          <w:color w:val="000000" w:themeColor="text1"/>
          <w:kern w:val="2"/>
          <w:sz w:val="24"/>
          <w:szCs w:val="24"/>
          <w:u w:val="single" w:color="000000"/>
          <w14:textFill>
            <w14:solidFill>
              <w14:schemeClr w14:val="tx1"/>
            </w14:solidFill>
          </w14:textFill>
        </w:rPr>
        <w:t>　　</w:t>
      </w:r>
      <w:r>
        <w:rPr>
          <w:rFonts w:hint="eastAsia" w:ascii="Times New Roman" w:hAnsi="Times New Roman" w:cs="宋体"/>
          <w:color w:val="000000" w:themeColor="text1"/>
          <w:kern w:val="2"/>
          <w:sz w:val="24"/>
          <w:szCs w:val="24"/>
          <w14:textFill>
            <w14:solidFill>
              <w14:schemeClr w14:val="tx1"/>
            </w14:solidFill>
          </w14:textFill>
        </w:rPr>
        <w:t>（姓名）为我公司委托代理人，以本公司的名义参加</w:t>
      </w:r>
      <w:r>
        <w:rPr>
          <w:rFonts w:hint="eastAsia" w:ascii="宋体" w:hAnsi="宋体" w:cs="宋体"/>
          <w:bCs/>
          <w:color w:val="000000" w:themeColor="text1"/>
          <w:kern w:val="2"/>
          <w:sz w:val="24"/>
          <w:szCs w:val="21"/>
          <w:u w:val="single"/>
          <w14:textFill>
            <w14:solidFill>
              <w14:schemeClr w14:val="tx1"/>
            </w14:solidFill>
          </w14:textFill>
        </w:rPr>
        <w:t xml:space="preserve">         （项目名称）     【项目编号：】</w:t>
      </w:r>
      <w:r>
        <w:rPr>
          <w:rFonts w:hint="eastAsia" w:ascii="Times New Roman" w:hAnsi="Times New Roman" w:cs="宋体"/>
          <w:color w:val="000000" w:themeColor="text1"/>
          <w:kern w:val="2"/>
          <w:sz w:val="24"/>
          <w:szCs w:val="24"/>
          <w14:textFill>
            <w14:solidFill>
              <w14:schemeClr w14:val="tx1"/>
            </w14:solidFill>
          </w14:textFill>
        </w:rPr>
        <w:t>的竞争性磋商响应活动。被授权人在开标、评审磋商活动、合同磋商过程中所签署的一切文件和处理与之有关的一切事务，我均予以承认。</w:t>
      </w:r>
    </w:p>
    <w:p w14:paraId="08F70FB6">
      <w:pPr>
        <w:snapToGrid w:val="0"/>
        <w:spacing w:line="360" w:lineRule="auto"/>
        <w:ind w:firstLine="484" w:firstLineChars="202"/>
        <w:textAlignment w:val="baseline"/>
        <w:rPr>
          <w:rFonts w:ascii="Times New Roman" w:hAnsi="Times New Roman" w:cs="宋体"/>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被授权人无转委权。特此委托。</w:t>
      </w:r>
    </w:p>
    <w:p w14:paraId="09226E05">
      <w:pPr>
        <w:snapToGrid w:val="0"/>
        <w:spacing w:line="360" w:lineRule="auto"/>
        <w:textAlignment w:val="baseline"/>
        <w:rPr>
          <w:rFonts w:ascii="Times New Roman" w:hAnsi="Times New Roman"/>
          <w:color w:val="000000" w:themeColor="text1"/>
          <w:szCs w:val="24"/>
          <w14:textFill>
            <w14:solidFill>
              <w14:schemeClr w14:val="tx1"/>
            </w14:solidFill>
          </w14:textFill>
        </w:rPr>
      </w:pPr>
    </w:p>
    <w:p w14:paraId="08E37270">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法定代表人签字：</w:t>
      </w:r>
    </w:p>
    <w:p w14:paraId="18A9E425">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被授权人身份证号：</w:t>
      </w:r>
    </w:p>
    <w:p w14:paraId="48A20E6C">
      <w:pPr>
        <w:snapToGrid w:val="0"/>
        <w:spacing w:line="360" w:lineRule="auto"/>
        <w:ind w:firstLine="972" w:firstLineChars="405"/>
        <w:textAlignment w:val="baseline"/>
        <w:rPr>
          <w:rFonts w:ascii="Times New Roman" w:hAnsi="Times New Roman"/>
          <w:color w:val="000000" w:themeColor="text1"/>
          <w:kern w:val="2"/>
          <w:sz w:val="24"/>
          <w:szCs w:val="24"/>
          <w14:textFill>
            <w14:solidFill>
              <w14:schemeClr w14:val="tx1"/>
            </w14:solidFill>
          </w14:textFill>
        </w:rPr>
      </w:pPr>
      <w:r>
        <w:rPr>
          <w:rFonts w:hint="eastAsia" w:ascii="Times New Roman" w:hAnsi="Times New Roman" w:cs="宋体"/>
          <w:color w:val="000000" w:themeColor="text1"/>
          <w:kern w:val="2"/>
          <w:sz w:val="24"/>
          <w:szCs w:val="24"/>
          <w14:textFill>
            <w14:solidFill>
              <w14:schemeClr w14:val="tx1"/>
            </w14:solidFill>
          </w14:textFill>
        </w:rPr>
        <w:t>被授权人签字：</w:t>
      </w:r>
    </w:p>
    <w:p w14:paraId="0C101ACE">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p>
    <w:p w14:paraId="60E114F2">
      <w:pPr>
        <w:snapToGrid w:val="0"/>
        <w:spacing w:line="520" w:lineRule="exact"/>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35ED6606">
      <w:pPr>
        <w:snapToGrid w:val="0"/>
        <w:spacing w:line="420" w:lineRule="exact"/>
        <w:ind w:firstLine="484" w:firstLineChars="202"/>
        <w:jc w:val="center"/>
        <w:textAlignment w:val="baseline"/>
        <w:rPr>
          <w:rFonts w:ascii="Times New Roman" w:hAnsi="Times New Roman"/>
          <w:color w:val="000000" w:themeColor="text1"/>
          <w:kern w:val="2"/>
          <w:sz w:val="20"/>
          <w:szCs w:val="21"/>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F6FD369">
      <w:pPr>
        <w:snapToGrid w:val="0"/>
        <w:spacing w:line="420" w:lineRule="exact"/>
        <w:ind w:firstLine="404" w:firstLineChars="202"/>
        <w:jc w:val="left"/>
        <w:textAlignment w:val="baseline"/>
        <w:rPr>
          <w:rFonts w:ascii="Times New Roman" w:hAnsi="Times New Roman"/>
          <w:color w:val="000000" w:themeColor="text1"/>
          <w:kern w:val="2"/>
          <w:sz w:val="20"/>
          <w:szCs w:val="21"/>
          <w14:textFill>
            <w14:solidFill>
              <w14:schemeClr w14:val="tx1"/>
            </w14:solidFill>
          </w14:textFill>
        </w:rPr>
      </w:pPr>
    </w:p>
    <w:tbl>
      <w:tblPr>
        <w:tblStyle w:val="59"/>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7B64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300E5E2E">
            <w:pPr>
              <w:snapToGrid w:val="0"/>
              <w:spacing w:line="420" w:lineRule="exact"/>
              <w:ind w:firstLine="404" w:firstLineChars="202"/>
              <w:jc w:val="left"/>
              <w:textAlignment w:val="baseline"/>
              <w:rPr>
                <w:rFonts w:ascii="Times New Roman" w:hAnsi="Times New Roman"/>
                <w:color w:val="000000" w:themeColor="text1"/>
                <w:kern w:val="2"/>
                <w:sz w:val="20"/>
                <w14:textFill>
                  <w14:solidFill>
                    <w14:schemeClr w14:val="tx1"/>
                  </w14:solidFill>
                </w14:textFill>
              </w:rPr>
            </w:pPr>
          </w:p>
          <w:p w14:paraId="323FC814">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r>
              <w:rPr>
                <w:rFonts w:hint="eastAsia" w:ascii="Times New Roman" w:hAnsi="Times New Roman" w:cs="宋体"/>
                <w:b/>
                <w:bCs/>
                <w:color w:val="000000" w:themeColor="text1"/>
                <w:kern w:val="2"/>
                <w14:textFill>
                  <w14:solidFill>
                    <w14:schemeClr w14:val="tx1"/>
                  </w14:solidFill>
                </w14:textFill>
              </w:rPr>
              <w:t>被授权人身份证</w:t>
            </w:r>
            <w:r>
              <w:rPr>
                <w:rFonts w:hint="eastAsia" w:ascii="Times New Roman" w:hAnsi="Times New Roman" w:cs="宋体"/>
                <w:b/>
                <w:color w:val="000000" w:themeColor="text1"/>
                <w:kern w:val="2"/>
                <w14:textFill>
                  <w14:solidFill>
                    <w14:schemeClr w14:val="tx1"/>
                  </w14:solidFill>
                </w14:textFill>
              </w:rPr>
              <w:t>（正、反面）</w:t>
            </w:r>
            <w:r>
              <w:rPr>
                <w:rFonts w:hint="eastAsia" w:ascii="Times New Roman" w:hAnsi="Times New Roman" w:cs="宋体"/>
                <w:b/>
                <w:bCs/>
                <w:color w:val="000000" w:themeColor="text1"/>
                <w:kern w:val="2"/>
                <w14:textFill>
                  <w14:solidFill>
                    <w14:schemeClr w14:val="tx1"/>
                  </w14:solidFill>
                </w14:textFill>
              </w:rPr>
              <w:t>复印件或扫描件</w:t>
            </w:r>
          </w:p>
          <w:p w14:paraId="53EB780A">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0B68EA22">
            <w:pPr>
              <w:snapToGrid w:val="0"/>
              <w:spacing w:line="420" w:lineRule="exact"/>
              <w:jc w:val="center"/>
              <w:textAlignment w:val="baseline"/>
              <w:rPr>
                <w:rFonts w:ascii="Times New Roman" w:hAnsi="Times New Roman"/>
                <w:b/>
                <w:bCs/>
                <w:color w:val="000000" w:themeColor="text1"/>
                <w:kern w:val="2"/>
                <w:sz w:val="20"/>
                <w14:textFill>
                  <w14:solidFill>
                    <w14:schemeClr w14:val="tx1"/>
                  </w14:solidFill>
                </w14:textFill>
              </w:rPr>
            </w:pPr>
          </w:p>
          <w:p w14:paraId="52EACD4D">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p w14:paraId="14D2F099">
            <w:pPr>
              <w:snapToGrid w:val="0"/>
              <w:spacing w:line="420" w:lineRule="exact"/>
              <w:jc w:val="center"/>
              <w:textAlignment w:val="baseline"/>
              <w:rPr>
                <w:rFonts w:ascii="Times New Roman" w:hAnsi="Times New Roman"/>
                <w:color w:val="000000" w:themeColor="text1"/>
                <w:kern w:val="2"/>
                <w:sz w:val="20"/>
                <w14:textFill>
                  <w14:solidFill>
                    <w14:schemeClr w14:val="tx1"/>
                  </w14:solidFill>
                </w14:textFill>
              </w:rPr>
            </w:pPr>
          </w:p>
        </w:tc>
      </w:tr>
    </w:tbl>
    <w:p w14:paraId="6436AF52">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20F0C145">
      <w:pPr>
        <w:snapToGrid w:val="0"/>
        <w:spacing w:line="420" w:lineRule="exact"/>
        <w:jc w:val="center"/>
        <w:textAlignment w:val="baseline"/>
        <w:rPr>
          <w:rFonts w:ascii="Times New Roman" w:hAnsi="Times New Roman"/>
          <w:color w:val="000000" w:themeColor="text1"/>
          <w:kern w:val="2"/>
          <w:sz w:val="20"/>
          <w:szCs w:val="21"/>
          <w14:textFill>
            <w14:solidFill>
              <w14:schemeClr w14:val="tx1"/>
            </w14:solidFill>
          </w14:textFill>
        </w:rPr>
      </w:pPr>
    </w:p>
    <w:p w14:paraId="4F333DCC">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BD68AC1">
      <w:pPr>
        <w:snapToGrid w:val="0"/>
        <w:spacing w:line="360" w:lineRule="auto"/>
        <w:jc w:val="center"/>
        <w:rPr>
          <w:rFonts w:hint="eastAsia"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r>
        <w:rPr>
          <w:rFonts w:hint="eastAsia" w:ascii="宋体" w:hAnsi="宋体"/>
          <w:b/>
          <w:color w:val="000000" w:themeColor="text1"/>
          <w:kern w:val="2"/>
          <w:sz w:val="30"/>
          <w:szCs w:val="30"/>
          <w14:textFill>
            <w14:solidFill>
              <w14:schemeClr w14:val="tx1"/>
            </w14:solidFill>
          </w14:textFill>
        </w:rPr>
        <w:t>供应商信用承诺书</w:t>
      </w:r>
    </w:p>
    <w:p w14:paraId="70961189">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482BA5B0">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为营造公开、公平、公正的招标（采购）交易环境，树立诚信守法的投标人（供应商）形象，本人代表本单位作出以下承诺：</w:t>
      </w:r>
    </w:p>
    <w:p w14:paraId="4D802096">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一、本单位对所提交的单位基本信息、单位负责人、项目负责人、技术负责人、从业资质和资格、业绩、财务状况、信誉等所有资料，均合法、真实、准确、有效，无任何伪造、修改、虚假成分；</w:t>
      </w:r>
    </w:p>
    <w:p w14:paraId="476EF78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二、严格依照国家和省、市关于招投投标（政府采购）等方面的法律、法规、规章、规范性文件，参加交易活动；积极履行社会责任，促进廉政建设；</w:t>
      </w:r>
    </w:p>
    <w:p w14:paraId="071BCCFE">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三、自我约束、自我管理，守合同、重信用，不参与围标串标、弄虚作假、骗取中标、干扰评标、违约毁约、恶意投诉等行为，主动维护招投标及采购活动的良好秩序；</w:t>
      </w:r>
    </w:p>
    <w:p w14:paraId="5093EDE9">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五、本单位自愿接受政府采购等有关行政监督部门及相关部门的依法检查。如发生违法违规或不良行为或存在其他法律法规对招标投标（采购响应）行为予以限制的情形，自愿接受政府采购等有关行政监督部门及相关部门依法给予的行政处罚（处理），并依法承担相应的法律责任；</w:t>
      </w:r>
    </w:p>
    <w:p w14:paraId="561AE1FA">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六、自觉接受政府部门、行业组织、社会公众、新闻舆论等监督；</w:t>
      </w:r>
    </w:p>
    <w:p w14:paraId="605C27F5">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七、上述承诺已向本单位员工做了宣传教育。</w:t>
      </w:r>
    </w:p>
    <w:p w14:paraId="4A75D0AC">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r>
        <w:rPr>
          <w:rFonts w:hint="eastAsia" w:ascii="宋体" w:hAnsi="Times New Roman"/>
          <w:color w:val="000000" w:themeColor="text1"/>
          <w:kern w:val="2"/>
          <w:sz w:val="24"/>
          <w:szCs w:val="24"/>
          <w14:textFill>
            <w14:solidFill>
              <w14:schemeClr w14:val="tx1"/>
            </w14:solidFill>
          </w14:textFill>
        </w:rPr>
        <w:t>如有违反上述承诺的不良行为，本单位同意将其予以上网公示。</w:t>
      </w:r>
    </w:p>
    <w:p w14:paraId="24D33B31">
      <w:pPr>
        <w:overflowPunct w:val="0"/>
        <w:adjustRightInd w:val="0"/>
        <w:spacing w:line="360" w:lineRule="auto"/>
        <w:ind w:firstLine="420"/>
        <w:jc w:val="left"/>
        <w:textAlignment w:val="baseline"/>
        <w:rPr>
          <w:rFonts w:ascii="宋体" w:hAnsi="Times New Roman"/>
          <w:color w:val="000000" w:themeColor="text1"/>
          <w:kern w:val="2"/>
          <w:sz w:val="24"/>
          <w:szCs w:val="24"/>
          <w:u w:val="single"/>
          <w14:textFill>
            <w14:solidFill>
              <w14:schemeClr w14:val="tx1"/>
            </w14:solidFill>
          </w14:textFill>
        </w:rPr>
      </w:pPr>
    </w:p>
    <w:p w14:paraId="56927F12">
      <w:pPr>
        <w:overflowPunct w:val="0"/>
        <w:adjustRightInd w:val="0"/>
        <w:spacing w:line="360" w:lineRule="auto"/>
        <w:ind w:firstLine="420"/>
        <w:jc w:val="left"/>
        <w:textAlignment w:val="baseline"/>
        <w:rPr>
          <w:rFonts w:ascii="宋体" w:hAnsi="Times New Roman"/>
          <w:color w:val="000000" w:themeColor="text1"/>
          <w:kern w:val="2"/>
          <w:sz w:val="24"/>
          <w:szCs w:val="24"/>
          <w14:textFill>
            <w14:solidFill>
              <w14:schemeClr w14:val="tx1"/>
            </w14:solidFill>
          </w14:textFill>
        </w:rPr>
      </w:pPr>
    </w:p>
    <w:p w14:paraId="4D21BF30">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1467678D">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62A23F6">
      <w:pPr>
        <w:snapToGrid w:val="0"/>
        <w:spacing w:line="480" w:lineRule="auto"/>
        <w:jc w:val="center"/>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9B28B46">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519606BF">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1CE00435">
      <w:pPr>
        <w:rPr>
          <w:rFonts w:hint="eastAsia" w:ascii="宋体" w:hAnsi="宋体" w:cs="宋体"/>
          <w:b/>
          <w:bCs/>
          <w:sz w:val="24"/>
        </w:rPr>
      </w:pPr>
      <w:r>
        <w:rPr>
          <w:rFonts w:hint="eastAsia" w:ascii="宋体" w:hAnsi="宋体" w:cs="宋体"/>
          <w:b/>
          <w:bCs/>
          <w:sz w:val="24"/>
        </w:rPr>
        <w:br w:type="page"/>
      </w:r>
    </w:p>
    <w:p w14:paraId="7E2C808E">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商务部分正负偏离表</w:t>
      </w:r>
    </w:p>
    <w:p w14:paraId="0C4CC6F8">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5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2"/>
        <w:gridCol w:w="2485"/>
        <w:gridCol w:w="2171"/>
        <w:gridCol w:w="2800"/>
        <w:gridCol w:w="1541"/>
      </w:tblGrid>
      <w:tr w14:paraId="23C57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7879C379">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1253" w:type="pct"/>
            <w:tcBorders>
              <w:top w:val="single" w:color="auto" w:sz="12" w:space="0"/>
              <w:left w:val="single" w:color="auto" w:sz="6" w:space="0"/>
              <w:bottom w:val="single" w:color="auto" w:sz="6" w:space="0"/>
              <w:right w:val="single" w:color="auto" w:sz="6" w:space="0"/>
            </w:tcBorders>
            <w:vAlign w:val="center"/>
          </w:tcPr>
          <w:p w14:paraId="724CFFA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EF9807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磋商文件要求的商务条款</w:t>
            </w:r>
          </w:p>
        </w:tc>
        <w:tc>
          <w:tcPr>
            <w:tcW w:w="1412" w:type="pct"/>
            <w:tcBorders>
              <w:top w:val="single" w:color="auto" w:sz="12" w:space="0"/>
              <w:left w:val="single" w:color="auto" w:sz="6" w:space="0"/>
              <w:bottom w:val="single" w:color="auto" w:sz="6" w:space="0"/>
              <w:right w:val="single" w:color="auto" w:sz="6" w:space="0"/>
            </w:tcBorders>
            <w:vAlign w:val="center"/>
          </w:tcPr>
          <w:p w14:paraId="14C22F5F">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777" w:type="pct"/>
            <w:tcBorders>
              <w:top w:val="single" w:color="auto" w:sz="12" w:space="0"/>
              <w:left w:val="single" w:color="auto" w:sz="6" w:space="0"/>
              <w:bottom w:val="single" w:color="auto" w:sz="6" w:space="0"/>
              <w:right w:val="single" w:color="auto" w:sz="12" w:space="0"/>
            </w:tcBorders>
          </w:tcPr>
          <w:p w14:paraId="78A016B1">
            <w:pPr>
              <w:spacing w:line="340" w:lineRule="exact"/>
              <w:jc w:val="center"/>
              <w:rPr>
                <w:rFonts w:hint="eastAsia" w:ascii="宋体" w:hAnsi="宋体"/>
                <w:color w:val="000000" w:themeColor="text1"/>
                <w:kern w:val="2"/>
                <w:sz w:val="24"/>
                <w:szCs w:val="24"/>
                <w14:textFill>
                  <w14:solidFill>
                    <w14:schemeClr w14:val="tx1"/>
                  </w14:solidFill>
                </w14:textFill>
              </w:rPr>
            </w:pPr>
          </w:p>
          <w:p w14:paraId="30937392">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7CABF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vAlign w:val="center"/>
          </w:tcPr>
          <w:p w14:paraId="699337BD">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w:t>
            </w:r>
          </w:p>
        </w:tc>
        <w:tc>
          <w:tcPr>
            <w:tcW w:w="1253" w:type="pct"/>
            <w:tcBorders>
              <w:top w:val="single" w:color="auto" w:sz="6" w:space="0"/>
              <w:left w:val="single" w:color="auto" w:sz="6" w:space="0"/>
              <w:bottom w:val="single" w:color="auto" w:sz="6" w:space="0"/>
              <w:right w:val="single" w:color="auto" w:sz="6" w:space="0"/>
            </w:tcBorders>
            <w:vAlign w:val="center"/>
          </w:tcPr>
          <w:p w14:paraId="4FCE362F">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50191D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184422F2">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08FD68D9">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4F8E2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vAlign w:val="center"/>
          </w:tcPr>
          <w:p w14:paraId="6B83C02A">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w:t>
            </w:r>
          </w:p>
        </w:tc>
        <w:tc>
          <w:tcPr>
            <w:tcW w:w="1253" w:type="pct"/>
            <w:tcBorders>
              <w:top w:val="single" w:color="auto" w:sz="6" w:space="0"/>
              <w:left w:val="single" w:color="auto" w:sz="6" w:space="0"/>
              <w:bottom w:val="single" w:color="auto" w:sz="6" w:space="0"/>
              <w:right w:val="single" w:color="auto" w:sz="6" w:space="0"/>
            </w:tcBorders>
            <w:vAlign w:val="center"/>
          </w:tcPr>
          <w:p w14:paraId="3870022B">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3C100FA7">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4F353FF3">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48E335A7">
            <w:pPr>
              <w:spacing w:line="340" w:lineRule="exact"/>
              <w:jc w:val="left"/>
              <w:rPr>
                <w:rFonts w:hint="eastAsia" w:ascii="宋体" w:hAnsi="宋体"/>
                <w:color w:val="000000" w:themeColor="text1"/>
                <w:kern w:val="2"/>
                <w:sz w:val="24"/>
                <w:szCs w:val="24"/>
                <w14:textFill>
                  <w14:solidFill>
                    <w14:schemeClr w14:val="tx1"/>
                  </w14:solidFill>
                </w14:textFill>
              </w:rPr>
            </w:pPr>
          </w:p>
        </w:tc>
      </w:tr>
      <w:tr w14:paraId="2C85A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60" w:type="pct"/>
            <w:tcBorders>
              <w:top w:val="single" w:color="auto" w:sz="6" w:space="0"/>
              <w:left w:val="single" w:color="auto" w:sz="12" w:space="0"/>
              <w:bottom w:val="single" w:color="auto" w:sz="6" w:space="0"/>
              <w:right w:val="single" w:color="auto" w:sz="6" w:space="0"/>
            </w:tcBorders>
            <w:vAlign w:val="center"/>
          </w:tcPr>
          <w:p w14:paraId="1ACDA838">
            <w:pPr>
              <w:spacing w:line="340" w:lineRule="exact"/>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w:t>
            </w:r>
          </w:p>
        </w:tc>
        <w:tc>
          <w:tcPr>
            <w:tcW w:w="1253" w:type="pct"/>
            <w:tcBorders>
              <w:top w:val="single" w:color="auto" w:sz="6" w:space="0"/>
              <w:left w:val="single" w:color="auto" w:sz="6" w:space="0"/>
              <w:bottom w:val="single" w:color="auto" w:sz="6" w:space="0"/>
              <w:right w:val="single" w:color="auto" w:sz="6" w:space="0"/>
            </w:tcBorders>
            <w:vAlign w:val="center"/>
          </w:tcPr>
          <w:p w14:paraId="5EBB3685">
            <w:pPr>
              <w:spacing w:line="340" w:lineRule="exact"/>
              <w:jc w:val="center"/>
              <w:rPr>
                <w:rFonts w:hint="eastAsia" w:ascii="宋体" w:hAnsi="宋体"/>
                <w:color w:val="000000" w:themeColor="text1"/>
                <w:kern w:val="2"/>
                <w:sz w:val="24"/>
                <w:szCs w:val="24"/>
                <w:highlight w:val="yellow"/>
                <w14:textFill>
                  <w14:solidFill>
                    <w14:schemeClr w14:val="tx1"/>
                  </w14:solidFill>
                </w14:textFill>
              </w:rPr>
            </w:pPr>
          </w:p>
        </w:tc>
        <w:tc>
          <w:tcPr>
            <w:tcW w:w="1095" w:type="pct"/>
            <w:tcBorders>
              <w:top w:val="single" w:color="auto" w:sz="6" w:space="0"/>
              <w:left w:val="single" w:color="auto" w:sz="6" w:space="0"/>
              <w:bottom w:val="single" w:color="auto" w:sz="6" w:space="0"/>
              <w:right w:val="single" w:color="auto" w:sz="6" w:space="0"/>
            </w:tcBorders>
            <w:vAlign w:val="center"/>
          </w:tcPr>
          <w:p w14:paraId="451E95EA">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1412" w:type="pct"/>
            <w:tcBorders>
              <w:top w:val="single" w:color="auto" w:sz="6" w:space="0"/>
              <w:left w:val="single" w:color="auto" w:sz="6" w:space="0"/>
              <w:bottom w:val="single" w:color="auto" w:sz="6" w:space="0"/>
              <w:right w:val="single" w:color="auto" w:sz="6" w:space="0"/>
            </w:tcBorders>
            <w:vAlign w:val="center"/>
          </w:tcPr>
          <w:p w14:paraId="3A43E7A1">
            <w:pPr>
              <w:spacing w:line="340" w:lineRule="exact"/>
              <w:jc w:val="left"/>
              <w:rPr>
                <w:rFonts w:hint="eastAsia" w:ascii="宋体" w:hAnsi="宋体"/>
                <w:color w:val="000000" w:themeColor="text1"/>
                <w:kern w:val="2"/>
                <w:sz w:val="24"/>
                <w:szCs w:val="24"/>
                <w14:textFill>
                  <w14:solidFill>
                    <w14:schemeClr w14:val="tx1"/>
                  </w14:solidFill>
                </w14:textFill>
              </w:rPr>
            </w:pPr>
          </w:p>
        </w:tc>
        <w:tc>
          <w:tcPr>
            <w:tcW w:w="777" w:type="pct"/>
            <w:tcBorders>
              <w:top w:val="single" w:color="auto" w:sz="6" w:space="0"/>
              <w:left w:val="single" w:color="auto" w:sz="6" w:space="0"/>
              <w:bottom w:val="single" w:color="auto" w:sz="6" w:space="0"/>
              <w:right w:val="single" w:color="auto" w:sz="12" w:space="0"/>
            </w:tcBorders>
          </w:tcPr>
          <w:p w14:paraId="5A19D823">
            <w:pPr>
              <w:spacing w:line="340" w:lineRule="exact"/>
              <w:jc w:val="left"/>
              <w:rPr>
                <w:rFonts w:hint="eastAsia" w:ascii="宋体" w:hAnsi="宋体"/>
                <w:color w:val="000000" w:themeColor="text1"/>
                <w:kern w:val="2"/>
                <w:sz w:val="24"/>
                <w:szCs w:val="24"/>
                <w14:textFill>
                  <w14:solidFill>
                    <w14:schemeClr w14:val="tx1"/>
                  </w14:solidFill>
                </w14:textFill>
              </w:rPr>
            </w:pPr>
          </w:p>
        </w:tc>
      </w:tr>
    </w:tbl>
    <w:p w14:paraId="1828E1D6">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736C9B04">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1.供应商提交的响应文件中与磋商文件第三部分“项目需求”中的商务部分的要求，如有偏离，应逐条填列在偏离表中。</w:t>
      </w:r>
      <w:r>
        <w:rPr>
          <w:rFonts w:hint="eastAsia" w:ascii="宋体" w:hAnsi="宋体"/>
          <w:b/>
          <w:bCs/>
          <w:color w:val="000000" w:themeColor="text1"/>
          <w:kern w:val="2"/>
          <w:sz w:val="24"/>
          <w:szCs w:val="24"/>
          <w14:textFill>
            <w14:solidFill>
              <w14:schemeClr w14:val="tx1"/>
            </w14:solidFill>
          </w14:textFill>
        </w:rPr>
        <w:t>如完全响应，可空白列示。</w:t>
      </w:r>
    </w:p>
    <w:p w14:paraId="2883E536">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66FD0CBA">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276C35A6">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278C077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4206751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0CC68A36">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7B0FC7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1BD1C8E2">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5A14384D">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8D99DE4">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04F6FDF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73D4EEFF">
      <w:pPr>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br w:type="page"/>
      </w:r>
    </w:p>
    <w:p w14:paraId="4AE1AA4B">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技术部分正负偏离表</w:t>
      </w:r>
    </w:p>
    <w:p w14:paraId="4E4ECA40">
      <w:pPr>
        <w:ind w:firstLine="560" w:firstLineChars="200"/>
        <w:jc w:val="center"/>
        <w:rPr>
          <w:rFonts w:hint="eastAsia" w:ascii="宋体" w:hAnsi="宋体"/>
          <w:color w:val="000000" w:themeColor="text1"/>
          <w:kern w:val="2"/>
          <w:sz w:val="28"/>
          <w:szCs w:val="28"/>
          <w14:textFill>
            <w14:solidFill>
              <w14:schemeClr w14:val="tx1"/>
            </w14:solidFill>
          </w14:textFill>
        </w:rPr>
      </w:pPr>
      <w:r>
        <w:rPr>
          <w:rFonts w:hint="eastAsia" w:ascii="宋体" w:hAnsi="宋体"/>
          <w:color w:val="000000" w:themeColor="text1"/>
          <w:kern w:val="2"/>
          <w:sz w:val="28"/>
          <w:szCs w:val="28"/>
          <w14:textFill>
            <w14:solidFill>
              <w14:schemeClr w14:val="tx1"/>
            </w14:solidFill>
          </w14:textFill>
        </w:rPr>
        <w:t>（由供应商据实填写，表格不够自行添加）</w:t>
      </w:r>
    </w:p>
    <w:tbl>
      <w:tblPr>
        <w:tblStyle w:val="59"/>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1"/>
        <w:gridCol w:w="1761"/>
        <w:gridCol w:w="3813"/>
        <w:gridCol w:w="2157"/>
        <w:gridCol w:w="1267"/>
      </w:tblGrid>
      <w:tr w14:paraId="1E460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FB1CC45">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序号</w:t>
            </w:r>
          </w:p>
        </w:tc>
        <w:tc>
          <w:tcPr>
            <w:tcW w:w="888" w:type="pct"/>
            <w:tcBorders>
              <w:top w:val="single" w:color="auto" w:sz="12" w:space="0"/>
              <w:left w:val="single" w:color="auto" w:sz="6" w:space="0"/>
              <w:bottom w:val="single" w:color="auto" w:sz="6" w:space="0"/>
              <w:right w:val="single" w:color="auto" w:sz="6" w:space="0"/>
            </w:tcBorders>
            <w:vAlign w:val="center"/>
          </w:tcPr>
          <w:p w14:paraId="22F656CC">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服务名称</w:t>
            </w:r>
          </w:p>
        </w:tc>
        <w:tc>
          <w:tcPr>
            <w:tcW w:w="1923" w:type="pct"/>
            <w:tcBorders>
              <w:top w:val="single" w:color="auto" w:sz="12" w:space="0"/>
              <w:left w:val="single" w:color="auto" w:sz="6" w:space="0"/>
              <w:bottom w:val="single" w:color="auto" w:sz="6" w:space="0"/>
              <w:right w:val="single" w:color="auto" w:sz="6" w:space="0"/>
            </w:tcBorders>
            <w:vAlign w:val="center"/>
          </w:tcPr>
          <w:p w14:paraId="5F6CA0E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磋商文件要求的技术要求</w:t>
            </w:r>
          </w:p>
        </w:tc>
        <w:tc>
          <w:tcPr>
            <w:tcW w:w="1088" w:type="pct"/>
            <w:tcBorders>
              <w:top w:val="single" w:color="auto" w:sz="12" w:space="0"/>
              <w:left w:val="single" w:color="auto" w:sz="6" w:space="0"/>
              <w:bottom w:val="single" w:color="auto" w:sz="6" w:space="0"/>
              <w:right w:val="single" w:color="auto" w:sz="6" w:space="0"/>
            </w:tcBorders>
            <w:vAlign w:val="center"/>
          </w:tcPr>
          <w:p w14:paraId="6564D098">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响应文件响应情况</w:t>
            </w:r>
          </w:p>
        </w:tc>
        <w:tc>
          <w:tcPr>
            <w:tcW w:w="639" w:type="pct"/>
            <w:tcBorders>
              <w:top w:val="single" w:color="auto" w:sz="12" w:space="0"/>
              <w:left w:val="single" w:color="auto" w:sz="6" w:space="0"/>
              <w:bottom w:val="single" w:color="auto" w:sz="6" w:space="0"/>
              <w:right w:val="single" w:color="auto" w:sz="12" w:space="0"/>
            </w:tcBorders>
          </w:tcPr>
          <w:p w14:paraId="67A356E5">
            <w:pPr>
              <w:jc w:val="center"/>
              <w:rPr>
                <w:rFonts w:hint="eastAsia" w:ascii="宋体" w:hAnsi="宋体"/>
                <w:color w:val="000000" w:themeColor="text1"/>
                <w:kern w:val="2"/>
                <w:sz w:val="24"/>
                <w:szCs w:val="24"/>
                <w14:textFill>
                  <w14:solidFill>
                    <w14:schemeClr w14:val="tx1"/>
                  </w14:solidFill>
                </w14:textFill>
              </w:rPr>
            </w:pPr>
          </w:p>
          <w:p w14:paraId="00497CD1">
            <w:pPr>
              <w:jc w:val="center"/>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偏离说明</w:t>
            </w:r>
          </w:p>
        </w:tc>
      </w:tr>
      <w:tr w14:paraId="342B1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7" w:hRule="atLeast"/>
        </w:trPr>
        <w:tc>
          <w:tcPr>
            <w:tcW w:w="460" w:type="pct"/>
            <w:tcBorders>
              <w:top w:val="single" w:color="auto" w:sz="6" w:space="0"/>
              <w:left w:val="single" w:color="auto" w:sz="12" w:space="0"/>
              <w:bottom w:val="single" w:color="auto" w:sz="6" w:space="0"/>
              <w:right w:val="single" w:color="auto" w:sz="6" w:space="0"/>
            </w:tcBorders>
            <w:vAlign w:val="center"/>
          </w:tcPr>
          <w:p w14:paraId="7F981F4A">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1</w:t>
            </w:r>
          </w:p>
        </w:tc>
        <w:tc>
          <w:tcPr>
            <w:tcW w:w="888" w:type="pct"/>
            <w:tcBorders>
              <w:top w:val="single" w:color="auto" w:sz="6" w:space="0"/>
              <w:left w:val="single" w:color="auto" w:sz="6" w:space="0"/>
              <w:bottom w:val="single" w:color="auto" w:sz="6" w:space="0"/>
              <w:right w:val="single" w:color="auto" w:sz="6" w:space="0"/>
            </w:tcBorders>
            <w:vAlign w:val="center"/>
          </w:tcPr>
          <w:p w14:paraId="09F54CAD">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73C1FFE1">
            <w:pPr>
              <w:jc w:val="left"/>
              <w:rPr>
                <w:rFonts w:hint="eastAsia" w:ascii="宋体" w:hAnsi="宋体"/>
                <w:color w:val="000000" w:themeColor="text1"/>
                <w:kern w:val="2"/>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54287BB8">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301F19BC">
            <w:pPr>
              <w:jc w:val="left"/>
              <w:rPr>
                <w:rFonts w:hint="eastAsia" w:ascii="宋体" w:hAnsi="宋体"/>
                <w:color w:val="000000" w:themeColor="text1"/>
                <w:kern w:val="2"/>
                <w:szCs w:val="21"/>
                <w14:textFill>
                  <w14:solidFill>
                    <w14:schemeClr w14:val="tx1"/>
                  </w14:solidFill>
                </w14:textFill>
              </w:rPr>
            </w:pPr>
          </w:p>
        </w:tc>
      </w:tr>
      <w:tr w14:paraId="5691E6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460" w:type="pct"/>
            <w:tcBorders>
              <w:top w:val="single" w:color="auto" w:sz="6" w:space="0"/>
              <w:left w:val="single" w:color="auto" w:sz="12" w:space="0"/>
              <w:bottom w:val="single" w:color="auto" w:sz="6" w:space="0"/>
              <w:right w:val="single" w:color="auto" w:sz="6" w:space="0"/>
            </w:tcBorders>
            <w:vAlign w:val="center"/>
          </w:tcPr>
          <w:p w14:paraId="4A25A901">
            <w:pPr>
              <w:jc w:val="center"/>
              <w:rPr>
                <w:rFonts w:hint="eastAsia" w:ascii="宋体" w:hAnsi="宋体"/>
                <w:color w:val="000000" w:themeColor="text1"/>
                <w:kern w:val="2"/>
                <w:szCs w:val="21"/>
                <w14:textFill>
                  <w14:solidFill>
                    <w14:schemeClr w14:val="tx1"/>
                  </w14:solidFill>
                </w14:textFill>
              </w:rPr>
            </w:pPr>
            <w:r>
              <w:rPr>
                <w:rFonts w:hint="eastAsia" w:ascii="宋体" w:hAnsi="宋体"/>
                <w:color w:val="000000" w:themeColor="text1"/>
                <w:kern w:val="2"/>
                <w:szCs w:val="21"/>
                <w14:textFill>
                  <w14:solidFill>
                    <w14:schemeClr w14:val="tx1"/>
                  </w14:solidFill>
                </w14:textFill>
              </w:rPr>
              <w:t>2</w:t>
            </w:r>
          </w:p>
        </w:tc>
        <w:tc>
          <w:tcPr>
            <w:tcW w:w="888" w:type="pct"/>
            <w:tcBorders>
              <w:top w:val="single" w:color="auto" w:sz="6" w:space="0"/>
              <w:left w:val="single" w:color="auto" w:sz="6" w:space="0"/>
              <w:bottom w:val="single" w:color="auto" w:sz="6" w:space="0"/>
              <w:right w:val="single" w:color="auto" w:sz="6" w:space="0"/>
            </w:tcBorders>
            <w:vAlign w:val="center"/>
          </w:tcPr>
          <w:p w14:paraId="07E89F64">
            <w:pPr>
              <w:jc w:val="center"/>
              <w:rPr>
                <w:rFonts w:hint="eastAsia" w:ascii="宋体" w:hAnsi="宋体"/>
                <w:color w:val="000000" w:themeColor="text1"/>
                <w:kern w:val="2"/>
                <w:szCs w:val="21"/>
                <w:highlight w:val="yellow"/>
                <w14:textFill>
                  <w14:solidFill>
                    <w14:schemeClr w14:val="tx1"/>
                  </w14:solidFill>
                </w14:textFill>
              </w:rPr>
            </w:pPr>
          </w:p>
        </w:tc>
        <w:tc>
          <w:tcPr>
            <w:tcW w:w="1923" w:type="pct"/>
            <w:tcBorders>
              <w:top w:val="single" w:color="auto" w:sz="6" w:space="0"/>
              <w:left w:val="single" w:color="auto" w:sz="6" w:space="0"/>
              <w:bottom w:val="single" w:color="auto" w:sz="6" w:space="0"/>
              <w:right w:val="single" w:color="auto" w:sz="6" w:space="0"/>
            </w:tcBorders>
            <w:vAlign w:val="center"/>
          </w:tcPr>
          <w:p w14:paraId="655F99D0">
            <w:pPr>
              <w:widowControl/>
              <w:snapToGrid w:val="0"/>
              <w:ind w:firstLine="420" w:firstLineChars="200"/>
              <w:rPr>
                <w:rFonts w:ascii="Times New Roman" w:hAnsi="Times New Roman" w:cs="宋体"/>
                <w:bCs/>
                <w:color w:val="000000" w:themeColor="text1"/>
                <w:szCs w:val="21"/>
                <w14:textFill>
                  <w14:solidFill>
                    <w14:schemeClr w14:val="tx1"/>
                  </w14:solidFill>
                </w14:textFill>
              </w:rPr>
            </w:pPr>
          </w:p>
        </w:tc>
        <w:tc>
          <w:tcPr>
            <w:tcW w:w="1088" w:type="pct"/>
            <w:tcBorders>
              <w:top w:val="single" w:color="auto" w:sz="6" w:space="0"/>
              <w:left w:val="single" w:color="auto" w:sz="6" w:space="0"/>
              <w:bottom w:val="single" w:color="auto" w:sz="6" w:space="0"/>
              <w:right w:val="single" w:color="auto" w:sz="6" w:space="0"/>
            </w:tcBorders>
            <w:vAlign w:val="center"/>
          </w:tcPr>
          <w:p w14:paraId="4B343B87">
            <w:pPr>
              <w:jc w:val="left"/>
              <w:rPr>
                <w:rFonts w:hint="eastAsia" w:ascii="宋体" w:hAnsi="宋体"/>
                <w:color w:val="000000" w:themeColor="text1"/>
                <w:kern w:val="2"/>
                <w:szCs w:val="21"/>
                <w14:textFill>
                  <w14:solidFill>
                    <w14:schemeClr w14:val="tx1"/>
                  </w14:solidFill>
                </w14:textFill>
              </w:rPr>
            </w:pPr>
          </w:p>
        </w:tc>
        <w:tc>
          <w:tcPr>
            <w:tcW w:w="639" w:type="pct"/>
            <w:tcBorders>
              <w:top w:val="single" w:color="auto" w:sz="6" w:space="0"/>
              <w:left w:val="single" w:color="auto" w:sz="6" w:space="0"/>
              <w:bottom w:val="single" w:color="auto" w:sz="6" w:space="0"/>
              <w:right w:val="single" w:color="auto" w:sz="12" w:space="0"/>
            </w:tcBorders>
          </w:tcPr>
          <w:p w14:paraId="17905255">
            <w:pPr>
              <w:jc w:val="left"/>
              <w:rPr>
                <w:rFonts w:hint="eastAsia" w:ascii="宋体" w:hAnsi="宋体"/>
                <w:color w:val="000000" w:themeColor="text1"/>
                <w:kern w:val="2"/>
                <w:szCs w:val="21"/>
                <w14:textFill>
                  <w14:solidFill>
                    <w14:schemeClr w14:val="tx1"/>
                  </w14:solidFill>
                </w14:textFill>
              </w:rPr>
            </w:pPr>
          </w:p>
        </w:tc>
      </w:tr>
    </w:tbl>
    <w:p w14:paraId="3C260624">
      <w:pPr>
        <w:snapToGrid w:val="0"/>
        <w:spacing w:line="300" w:lineRule="auto"/>
        <w:contextualSpacing/>
        <w:rPr>
          <w:rFonts w:hint="eastAsia" w:ascii="宋体" w:hAnsi="宋体"/>
          <w:b/>
          <w:color w:val="000000" w:themeColor="text1"/>
          <w:kern w:val="2"/>
          <w:sz w:val="24"/>
          <w:szCs w:val="24"/>
          <w14:textFill>
            <w14:solidFill>
              <w14:schemeClr w14:val="tx1"/>
            </w14:solidFill>
          </w14:textFill>
        </w:rPr>
      </w:pPr>
      <w:r>
        <w:rPr>
          <w:rFonts w:hint="eastAsia" w:ascii="宋体" w:hAnsi="宋体"/>
          <w:b/>
          <w:color w:val="000000" w:themeColor="text1"/>
          <w:kern w:val="2"/>
          <w:sz w:val="24"/>
          <w:szCs w:val="24"/>
          <w14:textFill>
            <w14:solidFill>
              <w14:schemeClr w14:val="tx1"/>
            </w14:solidFill>
          </w14:textFill>
        </w:rPr>
        <w:t>注：</w:t>
      </w:r>
    </w:p>
    <w:p w14:paraId="19C66667">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1.供应商提交的响应文件中与磋商文件第三部分“项目需求”中的技术部分的要求，如有偏离，应逐条填列在偏离表中。</w:t>
      </w:r>
      <w:r>
        <w:rPr>
          <w:rFonts w:hint="eastAsia" w:ascii="宋体" w:hAnsi="宋体"/>
          <w:b/>
          <w:bCs/>
          <w:color w:val="000000" w:themeColor="text1"/>
          <w:kern w:val="2"/>
          <w:sz w:val="24"/>
          <w:szCs w:val="24"/>
          <w14:textFill>
            <w14:solidFill>
              <w14:schemeClr w14:val="tx1"/>
            </w14:solidFill>
          </w14:textFill>
        </w:rPr>
        <w:t>如完全响应，可空白列示。</w:t>
      </w:r>
    </w:p>
    <w:p w14:paraId="6B53304B">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2.“偏离说明”一栏选择“正偏离”、“无偏离”、“负偏离”进行填写。正偏离、无偏离的确认和负偏离的是否响应采购文件，由磋商小组认定。</w:t>
      </w:r>
    </w:p>
    <w:p w14:paraId="717093E5">
      <w:pPr>
        <w:snapToGrid w:val="0"/>
        <w:spacing w:line="300" w:lineRule="auto"/>
        <w:ind w:firstLine="480" w:firstLineChars="200"/>
        <w:contextualSpacing/>
        <w:rPr>
          <w:rFonts w:hint="eastAsia"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3.供应商如果虚假响应，将被暂停参加采购单位组织的任何采购活动。</w:t>
      </w:r>
    </w:p>
    <w:p w14:paraId="54E35147">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r>
        <w:rPr>
          <w:rFonts w:hint="eastAsia" w:ascii="宋体" w:hAnsi="宋体"/>
          <w:bCs/>
          <w:color w:val="000000" w:themeColor="text1"/>
          <w:kern w:val="2"/>
          <w:sz w:val="24"/>
          <w:szCs w:val="24"/>
          <w14:textFill>
            <w14:solidFill>
              <w14:schemeClr w14:val="tx1"/>
            </w14:solidFill>
          </w14:textFill>
        </w:rPr>
        <w:t>4.供应商若提供其他增值服务，可以在表中自行据实填写。</w:t>
      </w:r>
    </w:p>
    <w:p w14:paraId="031A3780">
      <w:pPr>
        <w:snapToGrid w:val="0"/>
        <w:spacing w:line="300" w:lineRule="auto"/>
        <w:ind w:firstLine="480" w:firstLineChars="200"/>
        <w:contextualSpacing/>
        <w:rPr>
          <w:rFonts w:hint="eastAsia" w:ascii="宋体" w:hAnsi="宋体"/>
          <w:bCs/>
          <w:color w:val="000000" w:themeColor="text1"/>
          <w:kern w:val="2"/>
          <w:sz w:val="24"/>
          <w:szCs w:val="24"/>
          <w14:textFill>
            <w14:solidFill>
              <w14:schemeClr w14:val="tx1"/>
            </w14:solidFill>
          </w14:textFill>
        </w:rPr>
      </w:pPr>
    </w:p>
    <w:p w14:paraId="2FB1E2B1">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0231BA1E">
      <w:pPr>
        <w:tabs>
          <w:tab w:val="left" w:pos="5665"/>
          <w:tab w:val="right" w:pos="8360"/>
        </w:tabs>
        <w:snapToGrid w:val="0"/>
        <w:spacing w:line="480" w:lineRule="auto"/>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327587A9">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 xml:space="preserve">    日期：  年  月  日</w:t>
      </w:r>
    </w:p>
    <w:p w14:paraId="61E22B45">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3CA2DDD8">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57CD3912">
      <w:pPr>
        <w:rPr>
          <w:rFonts w:hint="eastAsia" w:ascii="宋体" w:hAnsi="宋体" w:cs="宋体"/>
          <w:b/>
          <w:color w:val="000000" w:themeColor="text1"/>
          <w:sz w:val="28"/>
          <w:szCs w:val="28"/>
          <w:lang w:val="en-US" w:eastAsia="zh-CN"/>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br w:type="page"/>
      </w:r>
    </w:p>
    <w:p w14:paraId="4F2570E6">
      <w:pPr>
        <w:snapToGrid w:val="0"/>
        <w:spacing w:line="360" w:lineRule="auto"/>
        <w:jc w:val="center"/>
        <w:rPr>
          <w:rFonts w:hint="eastAsia" w:ascii="宋体" w:hAnsi="宋体" w:eastAsia="宋体" w:cs="Times New Roman"/>
          <w:b/>
          <w:color w:val="000000" w:themeColor="text1"/>
          <w:kern w:val="2"/>
          <w:sz w:val="30"/>
          <w:szCs w:val="30"/>
          <w:lang w:val="en-US" w:eastAsia="zh-CN"/>
          <w14:textFill>
            <w14:solidFill>
              <w14:schemeClr w14:val="tx1"/>
            </w14:solidFill>
          </w14:textFill>
        </w:rPr>
      </w:pPr>
      <w:r>
        <w:rPr>
          <w:rFonts w:hint="eastAsia" w:ascii="宋体" w:hAnsi="宋体" w:eastAsia="宋体" w:cs="Times New Roman"/>
          <w:b/>
          <w:color w:val="000000" w:themeColor="text1"/>
          <w:kern w:val="2"/>
          <w:sz w:val="30"/>
          <w:szCs w:val="30"/>
          <w:lang w:val="en-US" w:eastAsia="zh-CN"/>
          <w14:textFill>
            <w14:solidFill>
              <w14:schemeClr w14:val="tx1"/>
            </w14:solidFill>
          </w14:textFill>
        </w:rPr>
        <w:t>承诺函</w:t>
      </w:r>
    </w:p>
    <w:p w14:paraId="0CF41C00">
      <w:pPr>
        <w:snapToGrid w:val="0"/>
        <w:spacing w:line="360" w:lineRule="auto"/>
        <w:rPr>
          <w:rFonts w:hint="eastAsia" w:ascii="宋体" w:hAnsi="宋体" w:cs="宋体"/>
          <w:color w:val="000000" w:themeColor="text1"/>
          <w:kern w:val="2"/>
          <w:sz w:val="24"/>
          <w:szCs w:val="24"/>
          <w:u w:val="single"/>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致：</w:t>
      </w:r>
      <w:r>
        <w:rPr>
          <w:rFonts w:hint="eastAsia" w:ascii="宋体" w:hAnsi="宋体" w:cs="宋体"/>
          <w:color w:val="000000" w:themeColor="text1"/>
          <w:kern w:val="2"/>
          <w:sz w:val="24"/>
          <w:szCs w:val="24"/>
          <w:u w:val="single"/>
          <w14:textFill>
            <w14:solidFill>
              <w14:schemeClr w14:val="tx1"/>
            </w14:solidFill>
          </w14:textFill>
        </w:rPr>
        <w:t>南通市生态环境局</w:t>
      </w:r>
    </w:p>
    <w:p w14:paraId="5AF4C741">
      <w:pPr>
        <w:keepNext w:val="0"/>
        <w:keepLines w:val="0"/>
        <w:pageBreakBefore w:val="0"/>
        <w:kinsoku/>
        <w:wordWrap/>
        <w:overflowPunct/>
        <w:topLinePunct w:val="0"/>
        <w:autoSpaceDE/>
        <w:autoSpaceDN/>
        <w:bidi w:val="0"/>
        <w:adjustRightInd/>
        <w:snapToGrid w:val="0"/>
        <w:spacing w:line="360" w:lineRule="auto"/>
        <w:ind w:firstLine="480" w:firstLineChars="200"/>
        <w:jc w:val="both"/>
        <w:rPr>
          <w:rFonts w:hint="default" w:ascii="宋体" w:hAnsi="宋体" w:eastAsia="宋体" w:cs="宋体"/>
          <w:color w:val="000000" w:themeColor="text1"/>
          <w:kern w:val="2"/>
          <w:sz w:val="24"/>
          <w:szCs w:val="24"/>
          <w:u w:val="none"/>
          <w:lang w:val="en-US" w:eastAsia="zh-CN"/>
          <w14:textFill>
            <w14:solidFill>
              <w14:schemeClr w14:val="tx1"/>
            </w14:solidFill>
          </w14:textFill>
        </w:rPr>
      </w:pPr>
      <w:r>
        <w:rPr>
          <w:rFonts w:hint="eastAsia" w:ascii="宋体" w:hAnsi="宋体" w:cs="宋体"/>
          <w:color w:val="000000" w:themeColor="text1"/>
          <w:kern w:val="2"/>
          <w:sz w:val="24"/>
          <w:szCs w:val="24"/>
          <w:u w:val="none"/>
          <w:lang w:val="en-US" w:eastAsia="zh-CN"/>
          <w14:textFill>
            <w14:solidFill>
              <w14:schemeClr w14:val="tx1"/>
            </w14:solidFill>
          </w14:textFill>
        </w:rPr>
        <w:t>我单位郑重承诺，如我单位成交，按以下要求提供服务：</w:t>
      </w:r>
    </w:p>
    <w:p w14:paraId="52CD9689">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rPr>
          <w:rFonts w:hint="eastAsia"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lang w:val="en-US" w:eastAsia="zh-CN"/>
          <w14:textFill>
            <w14:solidFill>
              <w14:schemeClr w14:val="tx1"/>
            </w14:solidFill>
          </w14:textFill>
        </w:rPr>
        <w:t>1.</w:t>
      </w:r>
      <w:r>
        <w:rPr>
          <w:rFonts w:hint="eastAsia" w:ascii="宋体" w:hAnsi="宋体" w:cs="宋体"/>
          <w:bCs/>
          <w:snapToGrid w:val="0"/>
          <w:color w:val="000000" w:themeColor="text1"/>
          <w:sz w:val="24"/>
          <w:szCs w:val="24"/>
          <w14:textFill>
            <w14:solidFill>
              <w14:schemeClr w14:val="tx1"/>
            </w14:solidFill>
          </w14:textFill>
        </w:rPr>
        <w:t>保证评估工作真实有效，不弄虚作假。</w:t>
      </w:r>
    </w:p>
    <w:p w14:paraId="2C016A5F">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rPr>
          <w:rFonts w:hint="eastAsia"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lang w:val="en-US" w:eastAsia="zh-CN"/>
          <w14:textFill>
            <w14:solidFill>
              <w14:schemeClr w14:val="tx1"/>
            </w14:solidFill>
          </w14:textFill>
        </w:rPr>
        <w:t>2.</w:t>
      </w:r>
      <w:r>
        <w:rPr>
          <w:rFonts w:hint="eastAsia" w:ascii="宋体" w:hAnsi="宋体" w:cs="宋体"/>
          <w:bCs/>
          <w:snapToGrid w:val="0"/>
          <w:color w:val="000000" w:themeColor="text1"/>
          <w:sz w:val="24"/>
          <w:szCs w:val="24"/>
          <w14:textFill>
            <w14:solidFill>
              <w14:schemeClr w14:val="tx1"/>
            </w14:solidFill>
          </w14:textFill>
        </w:rPr>
        <w:t>保证评估工作符合相关技术规范、标准，发现瑕疵妥善处理。</w:t>
      </w:r>
    </w:p>
    <w:p w14:paraId="2C28F45D">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rPr>
          <w:rFonts w:hint="eastAsia"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lang w:val="en-US" w:eastAsia="zh-CN"/>
          <w14:textFill>
            <w14:solidFill>
              <w14:schemeClr w14:val="tx1"/>
            </w14:solidFill>
          </w14:textFill>
        </w:rPr>
        <w:t>3.</w:t>
      </w:r>
      <w:r>
        <w:rPr>
          <w:rFonts w:hint="eastAsia" w:ascii="宋体" w:hAnsi="宋体" w:cs="宋体"/>
          <w:bCs/>
          <w:snapToGrid w:val="0"/>
          <w:color w:val="000000" w:themeColor="text1"/>
          <w:sz w:val="24"/>
          <w:szCs w:val="24"/>
          <w14:textFill>
            <w14:solidFill>
              <w14:schemeClr w14:val="tx1"/>
            </w14:solidFill>
          </w14:textFill>
        </w:rPr>
        <w:t>保证服务响应快速，提供服务内容满足时限要求。</w:t>
      </w:r>
    </w:p>
    <w:p w14:paraId="1E1EB216">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rPr>
          <w:rFonts w:hint="eastAsia" w:ascii="宋体" w:hAnsi="宋体" w:cs="宋体"/>
          <w:bCs/>
          <w:snapToGrid w:val="0"/>
          <w:color w:val="000000" w:themeColor="text1"/>
          <w:sz w:val="24"/>
          <w:szCs w:val="24"/>
          <w14:textFill>
            <w14:solidFill>
              <w14:schemeClr w14:val="tx1"/>
            </w14:solidFill>
          </w14:textFill>
        </w:rPr>
      </w:pPr>
      <w:r>
        <w:rPr>
          <w:rFonts w:hint="eastAsia" w:ascii="宋体" w:hAnsi="宋体" w:cs="宋体"/>
          <w:bCs/>
          <w:snapToGrid w:val="0"/>
          <w:color w:val="000000" w:themeColor="text1"/>
          <w:sz w:val="24"/>
          <w:szCs w:val="24"/>
          <w:lang w:val="en-US" w:eastAsia="zh-CN"/>
          <w14:textFill>
            <w14:solidFill>
              <w14:schemeClr w14:val="tx1"/>
            </w14:solidFill>
          </w14:textFill>
        </w:rPr>
        <w:t>4.</w:t>
      </w:r>
      <w:r>
        <w:rPr>
          <w:rFonts w:hint="eastAsia" w:ascii="宋体" w:hAnsi="宋体" w:cs="宋体"/>
          <w:bCs/>
          <w:snapToGrid w:val="0"/>
          <w:color w:val="000000" w:themeColor="text1"/>
          <w:sz w:val="24"/>
          <w:szCs w:val="24"/>
          <w14:textFill>
            <w14:solidFill>
              <w14:schemeClr w14:val="tx1"/>
            </w14:solidFill>
          </w14:textFill>
        </w:rPr>
        <w:t>接受采购组织的质量监督、检查，就服务内容及时提交报告、记录等相关材料。</w:t>
      </w:r>
    </w:p>
    <w:p w14:paraId="05BA294B">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rPr>
          <w:rFonts w:hint="eastAsia" w:ascii="宋体" w:hAnsi="宋体" w:cs="宋体"/>
          <w:bCs/>
          <w:snapToGrid w:val="0"/>
          <w:color w:val="000000" w:themeColor="text1"/>
          <w:sz w:val="24"/>
          <w:szCs w:val="24"/>
          <w14:textFill>
            <w14:solidFill>
              <w14:schemeClr w14:val="tx1"/>
            </w14:solidFill>
          </w14:textFill>
        </w:rPr>
      </w:pPr>
    </w:p>
    <w:p w14:paraId="3EFDBC88">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rPr>
          <w:rFonts w:hint="eastAsia" w:ascii="宋体" w:hAnsi="宋体" w:cs="宋体"/>
          <w:bCs/>
          <w:snapToGrid w:val="0"/>
          <w:color w:val="000000" w:themeColor="text1"/>
          <w:sz w:val="24"/>
          <w:szCs w:val="24"/>
          <w14:textFill>
            <w14:solidFill>
              <w14:schemeClr w14:val="tx1"/>
            </w14:solidFill>
          </w14:textFill>
        </w:rPr>
      </w:pPr>
    </w:p>
    <w:p w14:paraId="1C7DDE0C">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both"/>
        <w:rPr>
          <w:rFonts w:hint="eastAsia" w:ascii="宋体" w:hAnsi="宋体" w:cs="宋体"/>
          <w:bCs/>
          <w:snapToGrid w:val="0"/>
          <w:color w:val="000000" w:themeColor="text1"/>
          <w:sz w:val="24"/>
          <w:szCs w:val="24"/>
          <w14:textFill>
            <w14:solidFill>
              <w14:schemeClr w14:val="tx1"/>
            </w14:solidFill>
          </w14:textFill>
        </w:rPr>
      </w:pPr>
    </w:p>
    <w:p w14:paraId="54F0DC33">
      <w:pPr>
        <w:keepNext w:val="0"/>
        <w:keepLines w:val="0"/>
        <w:pageBreakBefore w:val="0"/>
        <w:kinsoku/>
        <w:wordWrap/>
        <w:overflowPunct/>
        <w:topLinePunct w:val="0"/>
        <w:autoSpaceDE/>
        <w:autoSpaceDN/>
        <w:bidi w:val="0"/>
        <w:adjustRightInd/>
        <w:snapToGrid w:val="0"/>
        <w:spacing w:line="360" w:lineRule="auto"/>
        <w:ind w:firstLine="480" w:firstLineChars="200"/>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竞争性磋商响应单位：（加盖公章）</w:t>
      </w:r>
    </w:p>
    <w:p w14:paraId="7C4592DF">
      <w:pPr>
        <w:keepNext w:val="0"/>
        <w:keepLines w:val="0"/>
        <w:pageBreakBefore w:val="0"/>
        <w:tabs>
          <w:tab w:val="left" w:pos="5665"/>
          <w:tab w:val="right" w:pos="8360"/>
        </w:tabs>
        <w:kinsoku/>
        <w:wordWrap/>
        <w:overflowPunct/>
        <w:topLinePunct w:val="0"/>
        <w:autoSpaceDE/>
        <w:autoSpaceDN/>
        <w:bidi w:val="0"/>
        <w:adjustRightInd/>
        <w:snapToGrid w:val="0"/>
        <w:spacing w:line="360" w:lineRule="auto"/>
        <w:ind w:firstLine="480" w:firstLineChars="200"/>
        <w:jc w:val="right"/>
        <w:textAlignment w:val="baseline"/>
        <w:rPr>
          <w:rFonts w:hint="eastAsia" w:ascii="宋体" w:hAnsi="宋体" w:cs="宋体"/>
          <w:color w:val="000000" w:themeColor="text1"/>
          <w:kern w:val="2"/>
          <w:sz w:val="24"/>
          <w:szCs w:val="24"/>
          <w:u w:val="single"/>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法定代表人或</w:t>
      </w:r>
      <w:r>
        <w:rPr>
          <w:rFonts w:hint="eastAsia" w:ascii="宋体" w:hAnsi="宋体" w:cs="仿宋_GB2312"/>
          <w:color w:val="000000" w:themeColor="text1"/>
          <w:kern w:val="2"/>
          <w:sz w:val="24"/>
          <w:szCs w:val="24"/>
          <w14:textFill>
            <w14:solidFill>
              <w14:schemeClr w14:val="tx1"/>
            </w14:solidFill>
          </w14:textFill>
        </w:rPr>
        <w:t>被授权人（签字或盖章）</w:t>
      </w:r>
      <w:r>
        <w:rPr>
          <w:rFonts w:hint="eastAsia" w:ascii="宋体" w:hAnsi="宋体" w:cs="宋体"/>
          <w:color w:val="000000" w:themeColor="text1"/>
          <w:kern w:val="2"/>
          <w:sz w:val="24"/>
          <w:szCs w:val="24"/>
          <w14:textFill>
            <w14:solidFill>
              <w14:schemeClr w14:val="tx1"/>
            </w14:solidFill>
          </w14:textFill>
        </w:rPr>
        <w:t>：</w:t>
      </w:r>
    </w:p>
    <w:p w14:paraId="6A6901B1">
      <w:pPr>
        <w:keepNext w:val="0"/>
        <w:keepLines w:val="0"/>
        <w:pageBreakBefore w:val="0"/>
        <w:widowControl/>
        <w:kinsoku/>
        <w:wordWrap/>
        <w:overflowPunct/>
        <w:topLinePunct w:val="0"/>
        <w:autoSpaceDE/>
        <w:autoSpaceDN/>
        <w:bidi w:val="0"/>
        <w:adjustRightInd/>
        <w:snapToGrid w:val="0"/>
        <w:spacing w:line="360" w:lineRule="auto"/>
        <w:ind w:firstLine="480" w:firstLineChars="200"/>
        <w:contextualSpacing/>
        <w:jc w:val="center"/>
        <w:rPr>
          <w:rFonts w:hint="eastAsia"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kern w:val="2"/>
          <w:sz w:val="24"/>
          <w:szCs w:val="24"/>
          <w:lang w:val="en-US" w:eastAsia="zh-CN"/>
          <w14:textFill>
            <w14:solidFill>
              <w14:schemeClr w14:val="tx1"/>
            </w14:solidFill>
          </w14:textFill>
        </w:rPr>
        <w:t xml:space="preserve">                          </w:t>
      </w:r>
      <w:r>
        <w:rPr>
          <w:rFonts w:hint="eastAsia" w:ascii="宋体" w:hAnsi="宋体" w:cs="宋体"/>
          <w:color w:val="000000" w:themeColor="text1"/>
          <w:kern w:val="2"/>
          <w:sz w:val="24"/>
          <w:szCs w:val="24"/>
          <w14:textFill>
            <w14:solidFill>
              <w14:schemeClr w14:val="tx1"/>
            </w14:solidFill>
          </w14:textFill>
        </w:rPr>
        <w:t>日期：  年  月  日</w:t>
      </w:r>
      <w:r>
        <w:rPr>
          <w:rFonts w:ascii="宋体" w:hAnsi="宋体" w:cs="宋体"/>
          <w:bCs/>
          <w:snapToGrid w:val="0"/>
          <w:color w:val="000000" w:themeColor="text1"/>
          <w:sz w:val="24"/>
          <w:szCs w:val="24"/>
          <w14:textFill>
            <w14:solidFill>
              <w14:schemeClr w14:val="tx1"/>
            </w14:solidFill>
          </w14:textFill>
        </w:rPr>
        <w:br w:type="page"/>
      </w:r>
      <w:r>
        <w:rPr>
          <w:rFonts w:hint="eastAsia" w:ascii="宋体" w:hAnsi="宋体" w:cs="宋体"/>
          <w:b/>
          <w:bCs/>
          <w:color w:val="000000" w:themeColor="text1"/>
          <w:sz w:val="32"/>
          <w:szCs w:val="32"/>
          <w14:textFill>
            <w14:solidFill>
              <w14:schemeClr w14:val="tx1"/>
            </w14:solidFill>
          </w14:textFill>
        </w:rPr>
        <w:t>报价总表</w:t>
      </w:r>
    </w:p>
    <w:p w14:paraId="5972D0D8">
      <w:pPr>
        <w:snapToGrid w:val="0"/>
        <w:textAlignment w:val="baseline"/>
        <w:rPr>
          <w:rFonts w:ascii="Times New Roman" w:hAnsi="Times New Roman"/>
          <w:color w:val="000000" w:themeColor="text1"/>
          <w:szCs w:val="21"/>
          <w14:textFill>
            <w14:solidFill>
              <w14:schemeClr w14:val="tx1"/>
            </w14:solidFill>
          </w14:textFill>
        </w:rPr>
      </w:pPr>
    </w:p>
    <w:tbl>
      <w:tblPr>
        <w:tblStyle w:val="59"/>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7711"/>
      </w:tblGrid>
      <w:tr w14:paraId="3141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24C2DDBD">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项目名称</w:t>
            </w:r>
          </w:p>
        </w:tc>
        <w:tc>
          <w:tcPr>
            <w:tcW w:w="7711" w:type="dxa"/>
            <w:vAlign w:val="center"/>
          </w:tcPr>
          <w:p w14:paraId="0BADD2F7">
            <w:pPr>
              <w:snapToGrid w:val="0"/>
              <w:spacing w:line="480" w:lineRule="exact"/>
              <w:jc w:val="center"/>
              <w:textAlignment w:val="baseline"/>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cs="宋体"/>
                <w:color w:val="000000" w:themeColor="text1"/>
                <w:kern w:val="2"/>
                <w:sz w:val="24"/>
                <w:szCs w:val="24"/>
                <w:lang w:eastAsia="zh-CN"/>
                <w14:textFill>
                  <w14:solidFill>
                    <w14:schemeClr w14:val="tx1"/>
                  </w14:solidFill>
                </w14:textFill>
              </w:rPr>
              <w:t>2026年南通市核与辐射建设项目环评文件委托技术评估项目</w:t>
            </w:r>
          </w:p>
        </w:tc>
      </w:tr>
      <w:tr w14:paraId="07BA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242" w:type="dxa"/>
            <w:vAlign w:val="center"/>
          </w:tcPr>
          <w:p w14:paraId="36D77723">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项目编号</w:t>
            </w:r>
          </w:p>
        </w:tc>
        <w:tc>
          <w:tcPr>
            <w:tcW w:w="7711" w:type="dxa"/>
            <w:vAlign w:val="center"/>
          </w:tcPr>
          <w:p w14:paraId="03023BBB">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WY-20260306-005</w:t>
            </w:r>
          </w:p>
        </w:tc>
      </w:tr>
      <w:tr w14:paraId="7604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0BD27424">
            <w:pPr>
              <w:snapToGrid w:val="0"/>
              <w:spacing w:before="120" w:beforeLines="50"/>
              <w:jc w:val="center"/>
              <w:rPr>
                <w:rFonts w:hint="eastAsia" w:ascii="宋体" w:hAnsi="宋体" w:eastAsia="宋体" w:cs="宋体"/>
                <w:snapToGrid w:val="0"/>
                <w:color w:val="000000" w:themeColor="text1"/>
                <w:sz w:val="24"/>
                <w:szCs w:val="24"/>
                <w:lang w:val="en-US"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第1轮报价</w:t>
            </w:r>
            <w:r>
              <w:rPr>
                <w:rFonts w:hint="eastAsia" w:ascii="宋体" w:hAnsi="宋体" w:cs="宋体"/>
                <w:snapToGrid w:val="0"/>
                <w:color w:val="000000" w:themeColor="text1"/>
                <w:sz w:val="24"/>
                <w:szCs w:val="24"/>
                <w:lang w:val="en-US" w:eastAsia="zh-CN"/>
                <w14:textFill>
                  <w14:solidFill>
                    <w14:schemeClr w14:val="tx1"/>
                  </w14:solidFill>
                </w14:textFill>
              </w:rPr>
              <w:t>折扣</w:t>
            </w:r>
          </w:p>
        </w:tc>
        <w:tc>
          <w:tcPr>
            <w:tcW w:w="7711" w:type="dxa"/>
            <w:vAlign w:val="center"/>
          </w:tcPr>
          <w:p w14:paraId="23BE43E4">
            <w:pPr>
              <w:widowControl/>
              <w:spacing w:line="360" w:lineRule="auto"/>
              <w:jc w:val="left"/>
              <w:rPr>
                <w:rFonts w:hint="default" w:ascii="Times New Roman" w:hAnsi="Times New Roman" w:eastAsia="宋体"/>
                <w:color w:val="000000" w:themeColor="text1"/>
                <w:kern w:val="2"/>
                <w:sz w:val="24"/>
                <w:szCs w:val="24"/>
                <w:u w:val="single"/>
                <w:lang w:val="en-US" w:eastAsia="zh-CN"/>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大写：</w:t>
            </w:r>
            <w:r>
              <w:rPr>
                <w:rFonts w:hint="eastAsia" w:ascii="Times New Roman" w:hAnsi="Times New Roman"/>
                <w:color w:val="000000" w:themeColor="text1"/>
                <w:kern w:val="2"/>
                <w:sz w:val="24"/>
                <w:szCs w:val="24"/>
                <w:lang w:val="en-US" w:eastAsia="zh-CN"/>
                <w14:textFill>
                  <w14:solidFill>
                    <w14:schemeClr w14:val="tx1"/>
                  </w14:solidFill>
                </w14:textFill>
              </w:rPr>
              <w:t>百分之</w:t>
            </w:r>
            <w:r>
              <w:rPr>
                <w:rFonts w:hint="eastAsia" w:ascii="Times New Roman" w:hAnsi="Times New Roman"/>
                <w:color w:val="000000" w:themeColor="text1"/>
                <w:kern w:val="2"/>
                <w:sz w:val="24"/>
                <w:szCs w:val="24"/>
                <w:u w:val="single"/>
                <w:lang w:val="en-US" w:eastAsia="zh-CN"/>
                <w14:textFill>
                  <w14:solidFill>
                    <w14:schemeClr w14:val="tx1"/>
                  </w14:solidFill>
                </w14:textFill>
              </w:rPr>
              <w:t xml:space="preserve">           </w:t>
            </w:r>
          </w:p>
          <w:p w14:paraId="553F3C99">
            <w:pPr>
              <w:widowControl/>
              <w:spacing w:line="360" w:lineRule="auto"/>
              <w:jc w:val="left"/>
              <w:rPr>
                <w:rFonts w:hint="eastAsia" w:ascii="Times New Roman" w:hAnsi="Times New Roman" w:eastAsia="宋体"/>
                <w:color w:val="000000" w:themeColor="text1"/>
                <w:kern w:val="2"/>
                <w:szCs w:val="21"/>
                <w:lang w:eastAsia="zh-CN"/>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w:t>
            </w:r>
            <w:r>
              <w:rPr>
                <w:rFonts w:hint="eastAsia" w:ascii="Times New Roman" w:hAnsi="Times New Roman"/>
                <w:color w:val="000000" w:themeColor="text1"/>
                <w:kern w:val="2"/>
                <w:sz w:val="24"/>
                <w:szCs w:val="24"/>
                <w:u w:val="single"/>
                <w:lang w:val="en-US" w:eastAsia="zh-CN"/>
                <w14:textFill>
                  <w14:solidFill>
                    <w14:schemeClr w14:val="tx1"/>
                  </w14:solidFill>
                </w14:textFill>
              </w:rPr>
              <w:t>%</w:t>
            </w:r>
          </w:p>
        </w:tc>
      </w:tr>
      <w:tr w14:paraId="31AC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2242" w:type="dxa"/>
            <w:vAlign w:val="center"/>
          </w:tcPr>
          <w:p w14:paraId="599C1D7E">
            <w:pPr>
              <w:adjustRightInd w:val="0"/>
              <w:snapToGrid w:val="0"/>
              <w:jc w:val="center"/>
              <w:rPr>
                <w:rFonts w:hint="eastAsia" w:ascii="宋体" w:hAnsi="宋体" w:cs="宋体"/>
                <w:snapToGrid w:val="0"/>
                <w:color w:val="000000" w:themeColor="text1"/>
                <w:sz w:val="24"/>
                <w:szCs w:val="24"/>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第2轮(最终)</w:t>
            </w:r>
          </w:p>
          <w:p w14:paraId="2C0AE034">
            <w:pPr>
              <w:adjustRightInd w:val="0"/>
              <w:snapToGrid w:val="0"/>
              <w:jc w:val="center"/>
              <w:rPr>
                <w:rFonts w:hint="eastAsia" w:ascii="宋体" w:hAnsi="宋体" w:eastAsia="宋体" w:cs="宋体"/>
                <w:snapToGrid w:val="0"/>
                <w:color w:val="000000" w:themeColor="text1"/>
                <w:sz w:val="24"/>
                <w:szCs w:val="24"/>
                <w:lang w:val="en-US" w:eastAsia="zh-CN"/>
                <w14:textFill>
                  <w14:solidFill>
                    <w14:schemeClr w14:val="tx1"/>
                  </w14:solidFill>
                </w14:textFill>
              </w:rPr>
            </w:pPr>
            <w:r>
              <w:rPr>
                <w:rFonts w:hint="eastAsia" w:ascii="宋体" w:hAnsi="宋体" w:cs="宋体"/>
                <w:snapToGrid w:val="0"/>
                <w:color w:val="000000" w:themeColor="text1"/>
                <w:sz w:val="24"/>
                <w:szCs w:val="24"/>
                <w14:textFill>
                  <w14:solidFill>
                    <w14:schemeClr w14:val="tx1"/>
                  </w14:solidFill>
                </w14:textFill>
              </w:rPr>
              <w:t>报价</w:t>
            </w:r>
            <w:r>
              <w:rPr>
                <w:rFonts w:hint="eastAsia" w:ascii="宋体" w:hAnsi="宋体" w:cs="宋体"/>
                <w:snapToGrid w:val="0"/>
                <w:color w:val="000000" w:themeColor="text1"/>
                <w:sz w:val="24"/>
                <w:szCs w:val="24"/>
                <w:lang w:val="en-US" w:eastAsia="zh-CN"/>
                <w14:textFill>
                  <w14:solidFill>
                    <w14:schemeClr w14:val="tx1"/>
                  </w14:solidFill>
                </w14:textFill>
              </w:rPr>
              <w:t>折扣</w:t>
            </w:r>
          </w:p>
          <w:p w14:paraId="3848052E">
            <w:pPr>
              <w:pStyle w:val="222"/>
              <w:ind w:left="0" w:firstLine="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（供应商现场填写）</w:t>
            </w:r>
          </w:p>
        </w:tc>
        <w:tc>
          <w:tcPr>
            <w:tcW w:w="7711" w:type="dxa"/>
            <w:vAlign w:val="center"/>
          </w:tcPr>
          <w:p w14:paraId="3DFB8AD4">
            <w:pPr>
              <w:widowControl/>
              <w:spacing w:line="360" w:lineRule="auto"/>
              <w:jc w:val="left"/>
              <w:rPr>
                <w:rFonts w:ascii="Times New Roman" w:hAnsi="Times New Roman"/>
                <w:color w:val="000000" w:themeColor="text1"/>
                <w:kern w:val="2"/>
                <w:sz w:val="24"/>
                <w:szCs w:val="24"/>
                <w14:textFill>
                  <w14:solidFill>
                    <w14:schemeClr w14:val="tx1"/>
                  </w14:solidFill>
                </w14:textFill>
              </w:rPr>
            </w:pPr>
          </w:p>
          <w:p w14:paraId="1A3E5854">
            <w:pPr>
              <w:widowControl/>
              <w:spacing w:line="360" w:lineRule="auto"/>
              <w:jc w:val="left"/>
              <w:rPr>
                <w:rFonts w:hint="default" w:ascii="Times New Roman" w:hAnsi="Times New Roman" w:eastAsia="宋体"/>
                <w:color w:val="000000" w:themeColor="text1"/>
                <w:kern w:val="2"/>
                <w:sz w:val="24"/>
                <w:szCs w:val="24"/>
                <w:u w:val="single"/>
                <w:lang w:val="en-US" w:eastAsia="zh-CN"/>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大写：</w:t>
            </w:r>
            <w:r>
              <w:rPr>
                <w:rFonts w:hint="eastAsia" w:ascii="Times New Roman" w:hAnsi="Times New Roman"/>
                <w:color w:val="000000" w:themeColor="text1"/>
                <w:kern w:val="2"/>
                <w:sz w:val="24"/>
                <w:szCs w:val="24"/>
                <w:lang w:val="en-US" w:eastAsia="zh-CN"/>
                <w14:textFill>
                  <w14:solidFill>
                    <w14:schemeClr w14:val="tx1"/>
                  </w14:solidFill>
                </w14:textFill>
              </w:rPr>
              <w:t>百分之</w:t>
            </w:r>
            <w:r>
              <w:rPr>
                <w:rFonts w:hint="eastAsia" w:ascii="Times New Roman" w:hAnsi="Times New Roman"/>
                <w:color w:val="000000" w:themeColor="text1"/>
                <w:kern w:val="2"/>
                <w:sz w:val="24"/>
                <w:szCs w:val="24"/>
                <w:u w:val="single"/>
                <w:lang w:val="en-US" w:eastAsia="zh-CN"/>
                <w14:textFill>
                  <w14:solidFill>
                    <w14:schemeClr w14:val="tx1"/>
                  </w14:solidFill>
                </w14:textFill>
              </w:rPr>
              <w:t xml:space="preserve">           </w:t>
            </w:r>
          </w:p>
          <w:p w14:paraId="1D19E5DB">
            <w:pPr>
              <w:widowControl/>
              <w:spacing w:line="360" w:lineRule="auto"/>
              <w:jc w:val="left"/>
              <w:rPr>
                <w:rFonts w:ascii="Times New Roman" w:hAnsi="Times New Roman"/>
                <w:color w:val="000000" w:themeColor="text1"/>
                <w:kern w:val="2"/>
                <w:sz w:val="24"/>
                <w:szCs w:val="24"/>
                <w:u w:val="single"/>
                <w14:textFill>
                  <w14:solidFill>
                    <w14:schemeClr w14:val="tx1"/>
                  </w14:solidFill>
                </w14:textFill>
              </w:rPr>
            </w:pPr>
            <w:r>
              <w:rPr>
                <w:rFonts w:hint="eastAsia" w:ascii="Times New Roman" w:hAnsi="Times New Roman"/>
                <w:color w:val="000000" w:themeColor="text1"/>
                <w:kern w:val="2"/>
                <w:sz w:val="24"/>
                <w:szCs w:val="24"/>
                <w14:textFill>
                  <w14:solidFill>
                    <w14:schemeClr w14:val="tx1"/>
                  </w14:solidFill>
                </w14:textFill>
              </w:rPr>
              <w:t>小写：</w:t>
            </w:r>
            <w:r>
              <w:rPr>
                <w:rFonts w:hint="eastAsia" w:ascii="Times New Roman" w:hAnsi="Times New Roman"/>
                <w:color w:val="000000" w:themeColor="text1"/>
                <w:kern w:val="2"/>
                <w:sz w:val="24"/>
                <w:szCs w:val="24"/>
                <w:u w:val="single"/>
                <w14:textFill>
                  <w14:solidFill>
                    <w14:schemeClr w14:val="tx1"/>
                  </w14:solidFill>
                </w14:textFill>
              </w:rPr>
              <w:t xml:space="preserve">            </w:t>
            </w:r>
            <w:r>
              <w:rPr>
                <w:rFonts w:hint="eastAsia" w:ascii="Times New Roman" w:hAnsi="Times New Roman"/>
                <w:color w:val="000000" w:themeColor="text1"/>
                <w:kern w:val="2"/>
                <w:sz w:val="24"/>
                <w:szCs w:val="24"/>
                <w:u w:val="single"/>
                <w:lang w:val="en-US" w:eastAsia="zh-CN"/>
                <w14:textFill>
                  <w14:solidFill>
                    <w14:schemeClr w14:val="tx1"/>
                  </w14:solidFill>
                </w14:textFill>
              </w:rPr>
              <w:t>%</w:t>
            </w:r>
          </w:p>
        </w:tc>
      </w:tr>
      <w:tr w14:paraId="390B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242" w:type="dxa"/>
            <w:vAlign w:val="center"/>
          </w:tcPr>
          <w:p w14:paraId="4006FB62">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付款条件</w:t>
            </w:r>
          </w:p>
        </w:tc>
        <w:tc>
          <w:tcPr>
            <w:tcW w:w="7711" w:type="dxa"/>
            <w:vAlign w:val="center"/>
          </w:tcPr>
          <w:p w14:paraId="66E6A315">
            <w:pPr>
              <w:snapToGrid w:val="0"/>
              <w:spacing w:line="480" w:lineRule="exact"/>
              <w:jc w:val="center"/>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完全接受并响应本项目磋商文件的要求。</w:t>
            </w:r>
          </w:p>
        </w:tc>
      </w:tr>
    </w:tbl>
    <w:p w14:paraId="0411E7C3">
      <w:pPr>
        <w:snapToGrid w:val="0"/>
        <w:spacing w:after="156"/>
        <w:textAlignment w:val="baseline"/>
        <w:rPr>
          <w:rFonts w:ascii="Times New Roman" w:hAnsi="Times New Roman"/>
          <w:color w:val="000000" w:themeColor="text1"/>
          <w:kern w:val="2"/>
          <w:szCs w:val="24"/>
          <w14:textFill>
            <w14:solidFill>
              <w14:schemeClr w14:val="tx1"/>
            </w14:solidFill>
          </w14:textFill>
        </w:rPr>
      </w:pPr>
    </w:p>
    <w:p w14:paraId="3DF4D405">
      <w:pPr>
        <w:keepNext w:val="0"/>
        <w:keepLines w:val="0"/>
        <w:pageBreakBefore w:val="0"/>
        <w:widowControl w:val="0"/>
        <w:kinsoku/>
        <w:wordWrap/>
        <w:overflowPunct/>
        <w:topLinePunct w:val="0"/>
        <w:autoSpaceDE/>
        <w:autoSpaceDN/>
        <w:bidi w:val="0"/>
        <w:adjustRightInd/>
        <w:snapToGrid w:val="0"/>
        <w:spacing w:line="360" w:lineRule="auto"/>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14:textFill>
            <w14:solidFill>
              <w14:schemeClr w14:val="tx1"/>
            </w14:solidFill>
          </w14:textFill>
        </w:rPr>
        <w:t>注：1</w:t>
      </w:r>
      <w:r>
        <w:rPr>
          <w:rFonts w:hint="eastAsia" w:ascii="Times New Roman" w:hAnsi="宋体" w:cs="宋体"/>
          <w:b/>
          <w:color w:val="000000" w:themeColor="text1"/>
          <w:kern w:val="2"/>
          <w:sz w:val="24"/>
          <w:szCs w:val="28"/>
          <w:lang w:val="en-US" w:eastAsia="zh-CN"/>
          <w14:textFill>
            <w14:solidFill>
              <w14:schemeClr w14:val="tx1"/>
            </w14:solidFill>
          </w14:textFill>
        </w:rPr>
        <w:t>.</w:t>
      </w:r>
      <w:r>
        <w:rPr>
          <w:rFonts w:hint="eastAsia" w:ascii="Times New Roman" w:hAnsi="宋体" w:cs="宋体"/>
          <w:b/>
          <w:color w:val="000000" w:themeColor="text1"/>
          <w:kern w:val="2"/>
          <w:sz w:val="24"/>
          <w:szCs w:val="28"/>
          <w14:textFill>
            <w14:solidFill>
              <w14:schemeClr w14:val="tx1"/>
            </w14:solidFill>
          </w14:textFill>
        </w:rPr>
        <w:t>第2轮(最终)报价将在磋商时填写，响应文件密封提交时只需填写第1轮磋商报价。</w:t>
      </w:r>
    </w:p>
    <w:p w14:paraId="0CBDAFB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baseline"/>
        <w:rPr>
          <w:rFonts w:hint="eastAsia" w:ascii="Times New Roman" w:hAnsi="宋体" w:cs="宋体"/>
          <w:b/>
          <w:color w:val="FF0000"/>
          <w:kern w:val="2"/>
          <w:sz w:val="24"/>
          <w:szCs w:val="28"/>
        </w:rPr>
      </w:pPr>
      <w:r>
        <w:rPr>
          <w:rFonts w:hint="eastAsia" w:ascii="Times New Roman" w:hAnsi="宋体" w:cs="宋体"/>
          <w:b/>
          <w:color w:val="FF0000"/>
          <w:kern w:val="2"/>
          <w:sz w:val="24"/>
          <w:szCs w:val="28"/>
          <w:lang w:val="en-US" w:eastAsia="zh-CN"/>
        </w:rPr>
        <w:t>2.</w:t>
      </w:r>
      <w:r>
        <w:rPr>
          <w:rFonts w:hint="eastAsia" w:ascii="Times New Roman" w:hAnsi="宋体" w:cs="宋体"/>
          <w:b/>
          <w:color w:val="FF0000"/>
          <w:kern w:val="2"/>
          <w:sz w:val="24"/>
          <w:szCs w:val="28"/>
        </w:rPr>
        <w:t>最高限价：本项目采用折扣报价形式，最高折扣100%，响应报价超过最高折扣的为无效响应文件。本项目涉及的多个服务类别统一报一个折扣，响应折扣报价须为整数报价，否则作无效报价处理。如95%、90%、85%为有效报价，95.1%、90.2%、85.22%为无效报价。</w:t>
      </w:r>
    </w:p>
    <w:p w14:paraId="747695C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baseline"/>
        <w:rPr>
          <w:rFonts w:hint="eastAsia" w:ascii="Times New Roman" w:hAnsi="宋体" w:cs="宋体"/>
          <w:b/>
          <w:color w:val="000000" w:themeColor="text1"/>
          <w:kern w:val="2"/>
          <w:sz w:val="24"/>
          <w:szCs w:val="28"/>
          <w14:textFill>
            <w14:solidFill>
              <w14:schemeClr w14:val="tx1"/>
            </w14:solidFill>
          </w14:textFill>
        </w:rPr>
      </w:pPr>
      <w:r>
        <w:rPr>
          <w:rFonts w:hint="eastAsia" w:ascii="Times New Roman" w:hAnsi="宋体" w:cs="宋体"/>
          <w:b/>
          <w:color w:val="000000" w:themeColor="text1"/>
          <w:kern w:val="2"/>
          <w:sz w:val="24"/>
          <w:szCs w:val="28"/>
          <w:lang w:val="en-US" w:eastAsia="zh-CN"/>
          <w14:textFill>
            <w14:solidFill>
              <w14:schemeClr w14:val="tx1"/>
            </w14:solidFill>
          </w14:textFill>
        </w:rPr>
        <w:t>3.</w:t>
      </w:r>
      <w:r>
        <w:rPr>
          <w:rFonts w:hint="eastAsia" w:ascii="Times New Roman" w:hAnsi="宋体" w:cs="宋体"/>
          <w:b/>
          <w:color w:val="000000" w:themeColor="text1"/>
          <w:kern w:val="2"/>
          <w:sz w:val="24"/>
          <w:szCs w:val="28"/>
          <w14:textFill>
            <w14:solidFill>
              <w14:schemeClr w14:val="tx1"/>
            </w14:solidFill>
          </w14:textFill>
        </w:rPr>
        <w:t>本表式不得自行改动。</w:t>
      </w:r>
    </w:p>
    <w:p w14:paraId="045D3549">
      <w:pPr>
        <w:snapToGrid w:val="0"/>
        <w:spacing w:line="360" w:lineRule="auto"/>
        <w:textAlignment w:val="baseline"/>
        <w:rPr>
          <w:rFonts w:hint="eastAsia" w:ascii="宋体" w:hAnsi="宋体"/>
          <w:color w:val="000000" w:themeColor="text1"/>
          <w:szCs w:val="24"/>
          <w14:textFill>
            <w14:solidFill>
              <w14:schemeClr w14:val="tx1"/>
            </w14:solidFill>
          </w14:textFill>
        </w:rPr>
      </w:pPr>
    </w:p>
    <w:p w14:paraId="06D1EF57">
      <w:pPr>
        <w:tabs>
          <w:tab w:val="left" w:pos="5665"/>
          <w:tab w:val="right" w:pos="8360"/>
        </w:tabs>
        <w:snapToGrid w:val="0"/>
        <w:spacing w:line="360" w:lineRule="auto"/>
        <w:ind w:right="42" w:firstLine="1560" w:firstLineChars="650"/>
        <w:textAlignment w:val="baseline"/>
        <w:rPr>
          <w:rFonts w:hint="eastAsia" w:ascii="宋体" w:hAnsi="宋体" w:cs="宋体"/>
          <w:color w:val="000000" w:themeColor="text1"/>
          <w:kern w:val="2"/>
          <w:sz w:val="24"/>
          <w:szCs w:val="28"/>
          <w14:textFill>
            <w14:solidFill>
              <w14:schemeClr w14:val="tx1"/>
            </w14:solidFill>
          </w14:textFill>
        </w:rPr>
      </w:pPr>
    </w:p>
    <w:p w14:paraId="3ED78A76">
      <w:pPr>
        <w:snapToGrid w:val="0"/>
        <w:spacing w:line="360" w:lineRule="auto"/>
        <w:ind w:right="79"/>
        <w:jc w:val="right"/>
        <w:textAlignment w:val="baseline"/>
        <w:rPr>
          <w:rFonts w:hint="eastAsia" w:ascii="宋体" w:hAnsi="宋体" w:cs="宋体"/>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竞争性磋商响应供应商：（单位盖章）</w:t>
      </w:r>
    </w:p>
    <w:p w14:paraId="6DE7B0FF">
      <w:pPr>
        <w:tabs>
          <w:tab w:val="left" w:pos="5665"/>
          <w:tab w:val="right" w:pos="8360"/>
        </w:tabs>
        <w:snapToGrid w:val="0"/>
        <w:spacing w:line="360" w:lineRule="auto"/>
        <w:ind w:right="42"/>
        <w:jc w:val="right"/>
        <w:textAlignment w:val="baseline"/>
        <w:rPr>
          <w:rFonts w:hint="eastAsia" w:ascii="宋体" w:hAnsi="宋体" w:cs="宋体"/>
          <w:color w:val="000000" w:themeColor="text1"/>
          <w:kern w:val="2"/>
          <w:sz w:val="24"/>
          <w:szCs w:val="28"/>
          <w:u w:val="single"/>
          <w14:textFill>
            <w14:solidFill>
              <w14:schemeClr w14:val="tx1"/>
            </w14:solidFill>
          </w14:textFill>
        </w:rPr>
      </w:pPr>
      <w:r>
        <w:rPr>
          <w:rFonts w:hint="eastAsia" w:ascii="宋体" w:hAnsi="宋体" w:cs="宋体"/>
          <w:color w:val="000000" w:themeColor="text1"/>
          <w:kern w:val="2"/>
          <w:sz w:val="24"/>
          <w:szCs w:val="28"/>
          <w14:textFill>
            <w14:solidFill>
              <w14:schemeClr w14:val="tx1"/>
            </w14:solidFill>
          </w14:textFill>
        </w:rPr>
        <w:t>法定代表人或</w:t>
      </w:r>
      <w:r>
        <w:rPr>
          <w:rFonts w:hint="eastAsia" w:ascii="宋体" w:hAnsi="宋体" w:cs="仿宋_GB2312"/>
          <w:color w:val="000000" w:themeColor="text1"/>
          <w:kern w:val="2"/>
          <w:sz w:val="24"/>
          <w:szCs w:val="28"/>
          <w14:textFill>
            <w14:solidFill>
              <w14:schemeClr w14:val="tx1"/>
            </w14:solidFill>
          </w14:textFill>
        </w:rPr>
        <w:t>被授权人（签字或盖章）</w:t>
      </w:r>
      <w:r>
        <w:rPr>
          <w:rFonts w:hint="eastAsia" w:ascii="宋体" w:hAnsi="宋体" w:cs="宋体"/>
          <w:color w:val="000000" w:themeColor="text1"/>
          <w:kern w:val="2"/>
          <w:sz w:val="24"/>
          <w:szCs w:val="28"/>
          <w14:textFill>
            <w14:solidFill>
              <w14:schemeClr w14:val="tx1"/>
            </w14:solidFill>
          </w14:textFill>
        </w:rPr>
        <w:t>：</w:t>
      </w:r>
    </w:p>
    <w:p w14:paraId="6C7E288F">
      <w:pPr>
        <w:tabs>
          <w:tab w:val="left" w:pos="5665"/>
          <w:tab w:val="right" w:pos="8360"/>
        </w:tabs>
        <w:snapToGrid w:val="0"/>
        <w:spacing w:line="360" w:lineRule="auto"/>
        <w:ind w:right="42"/>
        <w:jc w:val="right"/>
        <w:textAlignment w:val="baseline"/>
        <w:rPr>
          <w:rFonts w:hint="eastAsia" w:ascii="宋体" w:hAnsi="宋体" w:cs="宋体"/>
          <w:color w:val="000000" w:themeColor="text1"/>
          <w:kern w:val="2"/>
          <w:sz w:val="24"/>
          <w:szCs w:val="28"/>
          <w:lang w:val="zh-CN"/>
          <w14:textFill>
            <w14:solidFill>
              <w14:schemeClr w14:val="tx1"/>
            </w14:solidFill>
          </w14:textFill>
        </w:rPr>
      </w:pPr>
      <w:r>
        <w:rPr>
          <w:rFonts w:hint="eastAsia" w:ascii="宋体" w:hAnsi="宋体" w:cs="宋体"/>
          <w:color w:val="000000" w:themeColor="text1"/>
          <w:kern w:val="2"/>
          <w:sz w:val="24"/>
          <w:szCs w:val="28"/>
          <w:lang w:val="zh-CN"/>
          <w14:textFill>
            <w14:solidFill>
              <w14:schemeClr w14:val="tx1"/>
            </w14:solidFill>
          </w14:textFill>
        </w:rPr>
        <w:t>日期：年</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月</w:t>
      </w:r>
      <w:r>
        <w:rPr>
          <w:rFonts w:hint="eastAsia" w:ascii="宋体" w:hAnsi="宋体" w:cs="宋体"/>
          <w:color w:val="000000" w:themeColor="text1"/>
          <w:kern w:val="2"/>
          <w:sz w:val="24"/>
          <w:szCs w:val="28"/>
          <w14:textFill>
            <w14:solidFill>
              <w14:schemeClr w14:val="tx1"/>
            </w14:solidFill>
          </w14:textFill>
        </w:rPr>
        <w:t xml:space="preserve"> </w:t>
      </w:r>
      <w:r>
        <w:rPr>
          <w:rFonts w:hint="eastAsia" w:ascii="宋体" w:hAnsi="宋体" w:cs="宋体"/>
          <w:color w:val="000000" w:themeColor="text1"/>
          <w:kern w:val="2"/>
          <w:sz w:val="24"/>
          <w:szCs w:val="28"/>
          <w:lang w:val="zh-CN"/>
          <w14:textFill>
            <w14:solidFill>
              <w14:schemeClr w14:val="tx1"/>
            </w14:solidFill>
          </w14:textFill>
        </w:rPr>
        <w:t>日</w:t>
      </w:r>
    </w:p>
    <w:p w14:paraId="3EE6F4F4">
      <w:pPr>
        <w:snapToGrid w:val="0"/>
        <w:spacing w:line="400" w:lineRule="exact"/>
        <w:ind w:firstLine="540" w:firstLineChars="192"/>
        <w:contextualSpacing/>
        <w:rPr>
          <w:rFonts w:hint="eastAsia" w:ascii="宋体" w:hAnsi="宋体" w:cs="宋体"/>
          <w:b/>
          <w:color w:val="000000" w:themeColor="text1"/>
          <w:sz w:val="28"/>
          <w:szCs w:val="28"/>
          <w14:textFill>
            <w14:solidFill>
              <w14:schemeClr w14:val="tx1"/>
            </w14:solidFill>
          </w14:textFill>
        </w:rPr>
      </w:pPr>
    </w:p>
    <w:p w14:paraId="727F9955">
      <w:pP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br w:type="page"/>
      </w:r>
    </w:p>
    <w:p w14:paraId="275B17D6">
      <w:pPr>
        <w:rPr>
          <w:rFonts w:hint="eastAsia" w:ascii="宋体" w:hAnsi="宋体"/>
          <w:b/>
          <w:color w:val="000000" w:themeColor="text1"/>
          <w:kern w:val="2"/>
          <w:sz w:val="32"/>
          <w:szCs w:val="32"/>
          <w14:textFill>
            <w14:solidFill>
              <w14:schemeClr w14:val="tx1"/>
            </w14:solidFill>
          </w14:textFill>
        </w:rPr>
      </w:pPr>
    </w:p>
    <w:p w14:paraId="48E8B5CE">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中小企业声明函（服务）</w:t>
      </w:r>
    </w:p>
    <w:p w14:paraId="3ED5D59C">
      <w:pPr>
        <w:spacing w:line="360" w:lineRule="auto"/>
        <w:ind w:firstLine="480"/>
        <w:rPr>
          <w:rFonts w:hint="eastAsia" w:ascii="宋体" w:hAnsi="宋体"/>
          <w:sz w:val="24"/>
          <w:szCs w:val="24"/>
          <w:lang w:bidi="zh-CN"/>
        </w:rPr>
      </w:pPr>
      <w:r>
        <w:rPr>
          <w:rFonts w:ascii="宋体" w:hAnsi="宋体"/>
          <w:sz w:val="24"/>
          <w:szCs w:val="24"/>
          <w:lang w:bidi="zh-CN"/>
        </w:rPr>
        <w:t>本公司（联合体）郑重声明，根据《政府采购促进中小企业发展管理办法》（财库</w:t>
      </w:r>
      <w:r>
        <w:rPr>
          <w:rFonts w:hint="eastAsia" w:ascii="宋体" w:hAnsi="宋体"/>
          <w:sz w:val="24"/>
          <w:szCs w:val="24"/>
          <w:lang w:bidi="zh-CN"/>
        </w:rPr>
        <w:t>﹝</w:t>
      </w:r>
      <w:r>
        <w:rPr>
          <w:rFonts w:ascii="宋体" w:hAnsi="宋体"/>
          <w:sz w:val="24"/>
          <w:szCs w:val="24"/>
          <w:lang w:bidi="zh-CN"/>
        </w:rPr>
        <w:t>2020</w:t>
      </w:r>
      <w:r>
        <w:rPr>
          <w:rFonts w:hint="eastAsia" w:ascii="宋体" w:hAnsi="宋体"/>
          <w:sz w:val="24"/>
          <w:szCs w:val="24"/>
          <w:lang w:bidi="zh-CN"/>
        </w:rPr>
        <w:t>﹞</w:t>
      </w:r>
      <w:r>
        <w:rPr>
          <w:rFonts w:ascii="宋体" w:hAnsi="宋体"/>
          <w:sz w:val="24"/>
          <w:szCs w:val="24"/>
          <w:lang w:bidi="zh-CN"/>
        </w:rPr>
        <w:t>46 号）的规定，本公司（联合体）参加</w:t>
      </w:r>
      <w:r>
        <w:rPr>
          <w:rFonts w:ascii="宋体" w:hAnsi="宋体"/>
          <w:sz w:val="24"/>
          <w:szCs w:val="24"/>
          <w:u w:val="single"/>
          <w:lang w:bidi="zh-CN"/>
        </w:rPr>
        <w:t>（单位名称）</w:t>
      </w:r>
      <w:r>
        <w:rPr>
          <w:rFonts w:ascii="宋体" w:hAnsi="宋体"/>
          <w:sz w:val="24"/>
          <w:szCs w:val="24"/>
          <w:lang w:bidi="zh-CN"/>
        </w:rPr>
        <w:t>的</w:t>
      </w:r>
      <w:r>
        <w:rPr>
          <w:rFonts w:ascii="宋体" w:hAnsi="宋体"/>
          <w:sz w:val="24"/>
          <w:szCs w:val="24"/>
          <w:u w:val="single"/>
          <w:lang w:bidi="zh-CN"/>
        </w:rPr>
        <w:t>（项目名称）</w:t>
      </w:r>
      <w:r>
        <w:rPr>
          <w:rFonts w:ascii="宋体" w:hAnsi="宋体"/>
          <w:sz w:val="24"/>
          <w:szCs w:val="24"/>
          <w:lang w:bidi="zh-CN"/>
        </w:rPr>
        <w:t>采购活动，服务全部由符合政策要求的中小企业承接。相关企业的具体情况如下：</w:t>
      </w:r>
    </w:p>
    <w:p w14:paraId="377621CD">
      <w:pPr>
        <w:numPr>
          <w:ilvl w:val="0"/>
          <w:numId w:val="2"/>
        </w:numPr>
        <w:spacing w:line="360" w:lineRule="auto"/>
        <w:ind w:firstLine="480"/>
        <w:rPr>
          <w:rFonts w:hint="eastAsia" w:ascii="宋体" w:hAnsi="宋体"/>
          <w:sz w:val="24"/>
          <w:szCs w:val="24"/>
          <w:lang w:bidi="zh-CN"/>
        </w:rPr>
      </w:pPr>
      <w:r>
        <w:rPr>
          <w:rFonts w:ascii="宋体" w:hAnsi="宋体"/>
          <w:sz w:val="24"/>
          <w:szCs w:val="24"/>
          <w:u w:val="single"/>
          <w:lang w:bidi="zh-CN"/>
        </w:rPr>
        <w:t>（标的名称）</w:t>
      </w:r>
      <w:r>
        <w:rPr>
          <w:rFonts w:ascii="宋体" w:hAnsi="宋体"/>
          <w:sz w:val="24"/>
          <w:szCs w:val="24"/>
          <w:lang w:bidi="zh-CN"/>
        </w:rPr>
        <w:t>，属于</w:t>
      </w:r>
      <w:r>
        <w:rPr>
          <w:rFonts w:hint="eastAsia" w:ascii="宋体" w:hAnsi="宋体"/>
          <w:sz w:val="24"/>
          <w:szCs w:val="24"/>
          <w:lang w:bidi="zh-CN"/>
        </w:rPr>
        <w:t>其他未列明行业</w:t>
      </w:r>
      <w:r>
        <w:rPr>
          <w:rFonts w:ascii="宋体" w:hAnsi="宋体"/>
          <w:sz w:val="24"/>
          <w:szCs w:val="24"/>
          <w:lang w:bidi="zh-CN"/>
        </w:rPr>
        <w:t>；承接企业为</w:t>
      </w:r>
      <w:r>
        <w:rPr>
          <w:rFonts w:ascii="宋体" w:hAnsi="宋体"/>
          <w:sz w:val="24"/>
          <w:szCs w:val="24"/>
          <w:u w:val="single"/>
          <w:lang w:bidi="zh-CN"/>
        </w:rPr>
        <w:t>（企业名称）</w:t>
      </w:r>
      <w:r>
        <w:rPr>
          <w:rFonts w:ascii="宋体" w:hAnsi="宋体"/>
          <w:sz w:val="24"/>
          <w:szCs w:val="24"/>
          <w:lang w:bidi="zh-CN"/>
        </w:rPr>
        <w:t>，从业人员</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人，营业收入为</w:t>
      </w:r>
      <w:r>
        <w:rPr>
          <w:rFonts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万元，资产总额为</w:t>
      </w:r>
      <w:r>
        <w:rPr>
          <w:rFonts w:ascii="宋体" w:hAnsi="宋体"/>
          <w:sz w:val="24"/>
          <w:szCs w:val="24"/>
          <w:u w:val="single"/>
          <w:lang w:bidi="zh-CN"/>
        </w:rPr>
        <w:t xml:space="preserve"> </w:t>
      </w:r>
      <w:r>
        <w:rPr>
          <w:rFonts w:hint="eastAsia" w:ascii="宋体" w:hAnsi="宋体"/>
          <w:sz w:val="24"/>
          <w:szCs w:val="24"/>
          <w:u w:val="single"/>
          <w:lang w:bidi="zh-CN"/>
        </w:rPr>
        <w:t xml:space="preserve">  </w:t>
      </w:r>
      <w:r>
        <w:rPr>
          <w:rFonts w:ascii="宋体" w:hAnsi="宋体"/>
          <w:sz w:val="24"/>
          <w:szCs w:val="24"/>
          <w:u w:val="single"/>
          <w:lang w:bidi="zh-CN"/>
        </w:rPr>
        <w:tab/>
      </w:r>
      <w:r>
        <w:rPr>
          <w:rFonts w:ascii="宋体" w:hAnsi="宋体"/>
          <w:sz w:val="24"/>
          <w:szCs w:val="24"/>
          <w:lang w:bidi="zh-CN"/>
        </w:rPr>
        <w:t>万元，属于</w:t>
      </w:r>
      <w:r>
        <w:rPr>
          <w:rFonts w:hint="eastAsia" w:ascii="宋体" w:hAnsi="宋体"/>
          <w:sz w:val="24"/>
          <w:szCs w:val="24"/>
          <w:lang w:bidi="zh-CN"/>
        </w:rPr>
        <w:t>（</w:t>
      </w:r>
      <w:r>
        <w:rPr>
          <w:rFonts w:hint="eastAsia" w:ascii="宋体" w:hAnsi="宋体"/>
          <w:sz w:val="24"/>
          <w:szCs w:val="24"/>
          <w:u w:val="single"/>
          <w:lang w:bidi="zh-CN"/>
        </w:rPr>
        <w:t>□中型企业、□小型企业、□微型企业</w:t>
      </w:r>
      <w:r>
        <w:rPr>
          <w:rFonts w:hint="eastAsia" w:ascii="宋体" w:hAnsi="宋体"/>
          <w:sz w:val="24"/>
          <w:szCs w:val="24"/>
          <w:lang w:bidi="zh-CN"/>
        </w:rPr>
        <w:t>）。</w:t>
      </w:r>
    </w:p>
    <w:p w14:paraId="74204DEC">
      <w:pPr>
        <w:pStyle w:val="420"/>
        <w:ind w:firstLine="0"/>
      </w:pPr>
    </w:p>
    <w:p w14:paraId="2876AD39">
      <w:pPr>
        <w:spacing w:line="360" w:lineRule="auto"/>
        <w:ind w:firstLine="480"/>
        <w:rPr>
          <w:rFonts w:hint="eastAsia" w:ascii="宋体" w:hAnsi="宋体"/>
          <w:sz w:val="24"/>
          <w:szCs w:val="24"/>
          <w:lang w:bidi="zh-CN"/>
        </w:rPr>
      </w:pPr>
      <w:r>
        <w:rPr>
          <w:rFonts w:ascii="宋体" w:hAnsi="宋体"/>
          <w:sz w:val="24"/>
          <w:szCs w:val="24"/>
          <w:lang w:bidi="zh-CN"/>
        </w:rPr>
        <w:t>以上企业，不属于大企业的分支机构，不存在控股股东为大企业的情形，也不存在与大企业的负责人为同一人的情形。</w:t>
      </w:r>
    </w:p>
    <w:p w14:paraId="55FAF692">
      <w:pPr>
        <w:spacing w:line="360" w:lineRule="auto"/>
        <w:ind w:firstLine="480"/>
        <w:rPr>
          <w:rFonts w:hint="eastAsia" w:ascii="宋体" w:hAnsi="宋体"/>
          <w:sz w:val="24"/>
          <w:szCs w:val="24"/>
          <w:lang w:bidi="zh-CN"/>
        </w:rPr>
      </w:pPr>
      <w:r>
        <w:rPr>
          <w:rFonts w:ascii="宋体" w:hAnsi="宋体"/>
          <w:sz w:val="24"/>
          <w:szCs w:val="24"/>
          <w:lang w:bidi="zh-CN"/>
        </w:rPr>
        <w:t>本企业对上述声明内容的真实性负责。如有虚假，将依法承担相应责任。</w:t>
      </w:r>
    </w:p>
    <w:p w14:paraId="601A3D2D">
      <w:pPr>
        <w:spacing w:line="300" w:lineRule="auto"/>
        <w:ind w:firstLine="420"/>
        <w:rPr>
          <w:rFonts w:hint="eastAsia" w:ascii="宋体" w:hAnsi="宋体" w:cs="宋体"/>
          <w:lang w:bidi="zh-CN"/>
        </w:rPr>
      </w:pPr>
    </w:p>
    <w:p w14:paraId="216A3F01">
      <w:pPr>
        <w:spacing w:line="300" w:lineRule="auto"/>
        <w:rPr>
          <w:rFonts w:hint="eastAsia" w:ascii="宋体" w:hAnsi="宋体" w:cs="宋体"/>
          <w:lang w:bidi="zh-CN"/>
        </w:rPr>
      </w:pPr>
    </w:p>
    <w:p w14:paraId="554C9065">
      <w:pPr>
        <w:spacing w:line="300" w:lineRule="auto"/>
        <w:rPr>
          <w:rFonts w:hint="eastAsia" w:ascii="宋体" w:hAnsi="宋体" w:cs="宋体"/>
          <w:lang w:bidi="zh-CN"/>
        </w:rPr>
      </w:pPr>
      <w:r>
        <w:rPr>
          <w:rFonts w:hint="eastAsia" w:ascii="宋体" w:hAnsi="宋体" w:cs="宋体"/>
          <w:lang w:bidi="zh-CN"/>
        </w:rPr>
        <w:t>注：1.如项目属性为“服务”，请按本表填写。</w:t>
      </w:r>
    </w:p>
    <w:p w14:paraId="39B0079F">
      <w:pPr>
        <w:spacing w:line="300" w:lineRule="auto"/>
        <w:ind w:firstLine="420"/>
        <w:rPr>
          <w:rFonts w:hint="eastAsia" w:ascii="宋体" w:hAnsi="宋体" w:cs="宋体"/>
          <w:lang w:bidi="zh-CN"/>
        </w:rPr>
      </w:pPr>
      <w:r>
        <w:rPr>
          <w:rFonts w:hint="eastAsia" w:ascii="宋体" w:hAnsi="宋体" w:cs="宋体"/>
          <w:lang w:bidi="zh-CN"/>
        </w:rPr>
        <w:t>2.从业人员、营业收入、资产总额填报上一年度数据，无上一年度数据的新成立企业可不填报。</w:t>
      </w:r>
    </w:p>
    <w:p w14:paraId="340A92A9">
      <w:pPr>
        <w:spacing w:line="300" w:lineRule="auto"/>
        <w:ind w:firstLine="420"/>
        <w:rPr>
          <w:sz w:val="28"/>
          <w:szCs w:val="28"/>
          <w:lang w:bidi="zh-CN"/>
        </w:rPr>
      </w:pPr>
      <w:r>
        <w:rPr>
          <w:rFonts w:hint="eastAsia" w:ascii="宋体" w:hAnsi="宋体" w:cs="宋体"/>
          <w:lang w:bidi="zh-CN"/>
        </w:rPr>
        <w:t>3.中标供应商的《中小企业声明函》将随中标公告进行公示。供应商按照本办法规定提供声明函内容不实的，属于提供虚假材料谋取中标、成交，依照《中华人民共和国政府采购法》等国家有关规定追究相应责任。</w:t>
      </w:r>
    </w:p>
    <w:p w14:paraId="4C79DCDC">
      <w:pPr>
        <w:ind w:firstLine="480"/>
        <w:rPr>
          <w:sz w:val="24"/>
          <w:szCs w:val="24"/>
          <w:lang w:bidi="zh-CN"/>
        </w:rPr>
      </w:pPr>
    </w:p>
    <w:p w14:paraId="132711C8">
      <w:pPr>
        <w:rPr>
          <w:sz w:val="28"/>
          <w:szCs w:val="28"/>
          <w:lang w:bidi="zh-CN"/>
        </w:rPr>
      </w:pPr>
    </w:p>
    <w:p w14:paraId="44F4E69E">
      <w:pPr>
        <w:spacing w:line="360" w:lineRule="auto"/>
        <w:ind w:firstLine="480"/>
        <w:jc w:val="right"/>
        <w:rPr>
          <w:sz w:val="24"/>
          <w:szCs w:val="24"/>
          <w:lang w:bidi="zh-CN"/>
        </w:rPr>
      </w:pPr>
      <w:r>
        <w:rPr>
          <w:sz w:val="24"/>
          <w:szCs w:val="24"/>
          <w:lang w:bidi="zh-CN"/>
        </w:rPr>
        <w:t>企业名称（</w:t>
      </w:r>
      <w:r>
        <w:rPr>
          <w:rFonts w:hint="eastAsia"/>
          <w:sz w:val="24"/>
          <w:szCs w:val="24"/>
          <w:lang w:bidi="zh-CN"/>
        </w:rPr>
        <w:t>盖</w:t>
      </w:r>
      <w:r>
        <w:rPr>
          <w:rFonts w:hint="eastAsia" w:ascii="宋体" w:hAnsi="宋体" w:cs="宋体"/>
          <w:sz w:val="24"/>
          <w:szCs w:val="24"/>
        </w:rPr>
        <w:t>章</w:t>
      </w:r>
      <w:r>
        <w:rPr>
          <w:rFonts w:hint="eastAsia"/>
          <w:sz w:val="24"/>
          <w:szCs w:val="24"/>
          <w:lang w:bidi="zh-CN"/>
        </w:rPr>
        <w:t>）：</w:t>
      </w:r>
    </w:p>
    <w:p w14:paraId="6C1A7DB6">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color w:val="000000" w:themeColor="text1"/>
          <w:kern w:val="2"/>
          <w:sz w:val="24"/>
          <w:szCs w:val="24"/>
          <w14:textFill>
            <w14:solidFill>
              <w14:schemeClr w14:val="tx1"/>
            </w14:solidFill>
          </w14:textFill>
        </w:rPr>
        <w:t>日期：  年  月  日</w:t>
      </w:r>
    </w:p>
    <w:p w14:paraId="56934C23">
      <w:pPr>
        <w:rPr>
          <w:sz w:val="28"/>
          <w:szCs w:val="28"/>
          <w:lang w:bidi="zh-CN"/>
        </w:rPr>
      </w:pPr>
    </w:p>
    <w:p w14:paraId="1759C1B8">
      <w:pPr>
        <w:spacing w:line="300" w:lineRule="auto"/>
        <w:rPr>
          <w:rFonts w:eastAsia="方正黑体_GBK"/>
          <w:sz w:val="32"/>
          <w:szCs w:val="32"/>
        </w:rPr>
      </w:pPr>
      <w:r>
        <w:rPr>
          <w:rFonts w:eastAsia="方正黑体_GBK"/>
          <w:sz w:val="32"/>
          <w:szCs w:val="32"/>
        </w:rPr>
        <w:br w:type="page" w:clear="all"/>
      </w:r>
      <w:r>
        <w:rPr>
          <w:rFonts w:hint="eastAsia" w:ascii="宋体" w:hAnsi="宋体" w:cs="宋体"/>
          <w:b/>
          <w:bCs/>
          <w:sz w:val="24"/>
          <w:szCs w:val="24"/>
          <w:lang w:val="zh-CN"/>
        </w:rPr>
        <w:t xml:space="preserve"> </w:t>
      </w:r>
    </w:p>
    <w:p w14:paraId="2E71A75A">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残疾人福利性单位声明函</w:t>
      </w:r>
    </w:p>
    <w:p w14:paraId="545A7D5C">
      <w:pPr>
        <w:spacing w:line="588" w:lineRule="exact"/>
        <w:ind w:firstLine="480"/>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cs="宋体"/>
          <w:sz w:val="24"/>
          <w:szCs w:val="24"/>
          <w:u w:val="single"/>
        </w:rPr>
        <w:t xml:space="preserve">       </w:t>
      </w:r>
      <w:r>
        <w:rPr>
          <w:rFonts w:hint="eastAsia" w:ascii="宋体" w:hAnsi="宋体" w:cs="宋体"/>
          <w:sz w:val="24"/>
          <w:szCs w:val="24"/>
        </w:rPr>
        <w:t>项目采购活动提供本单位制造的货物（由本单位承担工程/提供服务），或者提供其他残疾人福利性单位制造的货物（不包括使用非残疾人福利性单位注册商标的货物）。</w:t>
      </w:r>
    </w:p>
    <w:p w14:paraId="72D818E7">
      <w:pPr>
        <w:spacing w:line="588" w:lineRule="exact"/>
        <w:ind w:firstLine="480"/>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753ACC07">
      <w:pPr>
        <w:spacing w:line="588" w:lineRule="exact"/>
        <w:ind w:firstLine="480"/>
        <w:rPr>
          <w:rFonts w:hint="eastAsia" w:ascii="宋体" w:hAnsi="宋体" w:cs="宋体"/>
          <w:sz w:val="24"/>
          <w:szCs w:val="24"/>
        </w:rPr>
      </w:pPr>
    </w:p>
    <w:p w14:paraId="2CF2C5E7">
      <w:pPr>
        <w:spacing w:line="588" w:lineRule="exact"/>
        <w:ind w:firstLine="480"/>
        <w:rPr>
          <w:rFonts w:hint="eastAsia" w:ascii="宋体" w:hAnsi="宋体" w:cs="宋体"/>
          <w:sz w:val="24"/>
          <w:szCs w:val="24"/>
        </w:rPr>
      </w:pPr>
    </w:p>
    <w:p w14:paraId="67B42C09">
      <w:pPr>
        <w:spacing w:line="588" w:lineRule="exact"/>
        <w:ind w:firstLine="480"/>
        <w:rPr>
          <w:rFonts w:hint="eastAsia" w:ascii="宋体" w:hAnsi="宋体" w:cs="宋体"/>
          <w:sz w:val="24"/>
          <w:szCs w:val="24"/>
        </w:rPr>
      </w:pPr>
    </w:p>
    <w:p w14:paraId="26A5C2B5">
      <w:pPr>
        <w:spacing w:line="588" w:lineRule="exact"/>
        <w:ind w:firstLine="480"/>
        <w:rPr>
          <w:rFonts w:hint="eastAsia" w:ascii="宋体" w:hAnsi="宋体" w:cs="宋体"/>
          <w:sz w:val="24"/>
          <w:szCs w:val="24"/>
        </w:rPr>
      </w:pPr>
    </w:p>
    <w:p w14:paraId="4BF12DA6">
      <w:pPr>
        <w:rPr>
          <w:rFonts w:hint="eastAsia" w:ascii="宋体" w:hAnsi="宋体" w:cs="宋体"/>
          <w:sz w:val="24"/>
          <w:szCs w:val="24"/>
          <w:lang w:bidi="zh-CN"/>
        </w:rPr>
      </w:pPr>
      <w:r>
        <w:rPr>
          <w:rFonts w:hint="eastAsia" w:ascii="宋体" w:hAnsi="宋体" w:cs="宋体"/>
          <w:sz w:val="24"/>
          <w:szCs w:val="24"/>
          <w:lang w:bidi="zh-CN"/>
        </w:rPr>
        <w:t>注：1、供应商如不提供此声明函，价格将不做相应扣除。</w:t>
      </w:r>
    </w:p>
    <w:p w14:paraId="2BAB470F">
      <w:pPr>
        <w:spacing w:line="588" w:lineRule="exact"/>
        <w:ind w:firstLine="480"/>
        <w:rPr>
          <w:rFonts w:hint="eastAsia" w:ascii="宋体" w:hAnsi="宋体" w:cs="宋体"/>
          <w:spacing w:val="6"/>
          <w:sz w:val="24"/>
          <w:szCs w:val="24"/>
        </w:rPr>
      </w:pPr>
      <w:r>
        <w:rPr>
          <w:rFonts w:hint="eastAsia" w:ascii="宋体" w:hAnsi="宋体" w:cs="宋体"/>
          <w:sz w:val="24"/>
          <w:szCs w:val="24"/>
          <w:lang w:bidi="zh-CN"/>
        </w:rPr>
        <w:t>2、中标供应商为残疾人福利单位的，此声明函将随中标结果同时公告，接受社会监督。供应商按照本办法规定提供声明函内容不实的，属于提供虚假材料谋取中标、成交，依照《中华人民共和国政府采购法》等国家有关规定追究相应责任。</w:t>
      </w:r>
    </w:p>
    <w:p w14:paraId="3E6E9E46">
      <w:pPr>
        <w:spacing w:line="588" w:lineRule="exact"/>
        <w:ind w:firstLine="504"/>
        <w:rPr>
          <w:rFonts w:hint="eastAsia" w:ascii="宋体" w:hAnsi="宋体" w:cs="宋体"/>
          <w:spacing w:val="6"/>
          <w:sz w:val="24"/>
          <w:szCs w:val="24"/>
        </w:rPr>
      </w:pPr>
    </w:p>
    <w:p w14:paraId="7661650E">
      <w:pPr>
        <w:tabs>
          <w:tab w:val="left" w:pos="4860"/>
        </w:tabs>
        <w:spacing w:line="480" w:lineRule="auto"/>
        <w:ind w:firstLine="504"/>
        <w:jc w:val="right"/>
        <w:rPr>
          <w:rFonts w:hint="eastAsia" w:ascii="宋体" w:hAnsi="宋体" w:cs="宋体"/>
          <w:sz w:val="24"/>
          <w:szCs w:val="24"/>
        </w:rPr>
      </w:pPr>
      <w:r>
        <w:rPr>
          <w:rFonts w:hint="eastAsia" w:ascii="宋体" w:hAnsi="宋体" w:cs="宋体"/>
          <w:spacing w:val="6"/>
          <w:sz w:val="24"/>
          <w:szCs w:val="24"/>
        </w:rPr>
        <w:t xml:space="preserve">             </w:t>
      </w:r>
      <w:r>
        <w:rPr>
          <w:rFonts w:hint="eastAsia" w:ascii="宋体" w:hAnsi="宋体" w:cs="宋体"/>
          <w:sz w:val="24"/>
          <w:szCs w:val="24"/>
        </w:rPr>
        <w:t xml:space="preserve">             供应商全称（</w:t>
      </w:r>
      <w:r>
        <w:rPr>
          <w:rFonts w:hint="eastAsia"/>
          <w:sz w:val="24"/>
          <w:szCs w:val="24"/>
          <w:lang w:bidi="zh-CN"/>
        </w:rPr>
        <w:t>盖</w:t>
      </w:r>
      <w:r>
        <w:rPr>
          <w:rFonts w:hint="eastAsia" w:ascii="宋体" w:hAnsi="宋体" w:cs="宋体"/>
          <w:sz w:val="24"/>
          <w:szCs w:val="24"/>
        </w:rPr>
        <w:t>章）：</w:t>
      </w:r>
    </w:p>
    <w:p w14:paraId="1F351DED">
      <w:pPr>
        <w:snapToGrid w:val="0"/>
        <w:spacing w:line="480" w:lineRule="auto"/>
        <w:jc w:val="right"/>
        <w:rPr>
          <w:rFonts w:ascii="宋体" w:hAnsi="Times New Roman"/>
          <w:color w:val="000000" w:themeColor="text1"/>
          <w:kern w:val="2"/>
          <w:sz w:val="24"/>
          <w:szCs w:val="24"/>
          <w14:textFill>
            <w14:solidFill>
              <w14:schemeClr w14:val="tx1"/>
            </w14:solidFill>
          </w14:textFill>
        </w:rPr>
      </w:pPr>
      <w:r>
        <w:rPr>
          <w:rFonts w:hint="eastAsia" w:ascii="宋体" w:hAnsi="宋体" w:cs="宋体"/>
          <w:sz w:val="24"/>
          <w:szCs w:val="24"/>
        </w:rPr>
        <w:t xml:space="preserve">             </w:t>
      </w:r>
      <w:r>
        <w:rPr>
          <w:rFonts w:hint="eastAsia" w:ascii="宋体" w:hAnsi="宋体" w:cs="宋体"/>
          <w:color w:val="000000" w:themeColor="text1"/>
          <w:kern w:val="2"/>
          <w:sz w:val="24"/>
          <w:szCs w:val="24"/>
          <w14:textFill>
            <w14:solidFill>
              <w14:schemeClr w14:val="tx1"/>
            </w14:solidFill>
          </w14:textFill>
        </w:rPr>
        <w:t>日期：  年  月  日</w:t>
      </w:r>
    </w:p>
    <w:p w14:paraId="280E53B2">
      <w:pPr>
        <w:tabs>
          <w:tab w:val="left" w:pos="4860"/>
        </w:tabs>
        <w:spacing w:line="588" w:lineRule="exact"/>
        <w:ind w:right="1560" w:firstLine="480"/>
        <w:jc w:val="center"/>
        <w:rPr>
          <w:rFonts w:hint="eastAsia" w:ascii="宋体" w:hAnsi="宋体" w:cs="宋体"/>
          <w:sz w:val="24"/>
          <w:szCs w:val="24"/>
        </w:rPr>
      </w:pPr>
    </w:p>
    <w:p w14:paraId="65AAFD97">
      <w:pPr>
        <w:rPr>
          <w:rFonts w:eastAsia="方正黑体_GBK"/>
          <w:sz w:val="32"/>
          <w:szCs w:val="32"/>
        </w:rPr>
      </w:pPr>
    </w:p>
    <w:p w14:paraId="69460710">
      <w:pPr>
        <w:spacing w:line="300" w:lineRule="auto"/>
        <w:rPr>
          <w:b/>
          <w:bCs/>
          <w:sz w:val="32"/>
          <w:szCs w:val="32"/>
        </w:rPr>
      </w:pPr>
      <w:r>
        <w:rPr>
          <w:b/>
          <w:bCs/>
          <w:sz w:val="32"/>
          <w:szCs w:val="32"/>
        </w:rPr>
        <w:br w:type="page" w:clear="all"/>
      </w:r>
    </w:p>
    <w:p w14:paraId="370A1A0B">
      <w:pPr>
        <w:snapToGrid w:val="0"/>
        <w:spacing w:line="300" w:lineRule="auto"/>
        <w:contextualSpacing/>
        <w:jc w:val="center"/>
        <w:rPr>
          <w:rFonts w:hint="eastAsia" w:ascii="宋体" w:hAnsi="宋体"/>
          <w:b/>
          <w:color w:val="000000" w:themeColor="text1"/>
          <w:kern w:val="2"/>
          <w:sz w:val="32"/>
          <w:szCs w:val="32"/>
          <w14:textFill>
            <w14:solidFill>
              <w14:schemeClr w14:val="tx1"/>
            </w14:solidFill>
          </w14:textFill>
        </w:rPr>
      </w:pPr>
      <w:r>
        <w:rPr>
          <w:rFonts w:hint="eastAsia" w:ascii="宋体" w:hAnsi="宋体"/>
          <w:b/>
          <w:color w:val="000000" w:themeColor="text1"/>
          <w:kern w:val="2"/>
          <w:sz w:val="32"/>
          <w:szCs w:val="32"/>
          <w14:textFill>
            <w14:solidFill>
              <w14:schemeClr w14:val="tx1"/>
            </w14:solidFill>
          </w14:textFill>
        </w:rPr>
        <w:t>监狱和戒毒企业证明材料</w:t>
      </w:r>
    </w:p>
    <w:p w14:paraId="197EA740">
      <w:pPr>
        <w:spacing w:line="420" w:lineRule="exact"/>
        <w:ind w:firstLine="424"/>
        <w:rPr>
          <w:rFonts w:hint="eastAsia" w:ascii="宋体" w:hAnsi="宋体" w:cs="宋体"/>
          <w:sz w:val="24"/>
          <w:szCs w:val="24"/>
        </w:rPr>
      </w:pPr>
    </w:p>
    <w:p w14:paraId="672EF624">
      <w:pPr>
        <w:spacing w:line="420" w:lineRule="exact"/>
        <w:ind w:firstLine="426"/>
        <w:rPr>
          <w:rFonts w:hint="eastAsia" w:ascii="宋体" w:hAnsi="宋体" w:cs="宋体"/>
          <w:b/>
          <w:sz w:val="24"/>
          <w:szCs w:val="24"/>
        </w:rPr>
      </w:pPr>
      <w:r>
        <w:rPr>
          <w:rFonts w:hint="eastAsia" w:ascii="宋体" w:hAnsi="宋体" w:cs="宋体"/>
          <w:b/>
          <w:sz w:val="24"/>
          <w:szCs w:val="24"/>
        </w:rPr>
        <w:t>（格式自拟）</w:t>
      </w:r>
    </w:p>
    <w:p w14:paraId="317B5109">
      <w:pPr>
        <w:spacing w:line="420" w:lineRule="exact"/>
        <w:ind w:firstLine="424"/>
        <w:rPr>
          <w:rFonts w:hint="eastAsia" w:ascii="宋体" w:hAnsi="宋体" w:cs="宋体"/>
          <w:sz w:val="24"/>
          <w:szCs w:val="24"/>
        </w:rPr>
      </w:pPr>
    </w:p>
    <w:p w14:paraId="16D5B97E">
      <w:pPr>
        <w:spacing w:line="420" w:lineRule="exact"/>
        <w:ind w:firstLine="566"/>
        <w:rPr>
          <w:rFonts w:hint="eastAsia" w:ascii="宋体" w:hAnsi="宋体" w:cs="宋体"/>
          <w:sz w:val="24"/>
          <w:szCs w:val="24"/>
        </w:rPr>
      </w:pPr>
      <w:r>
        <w:rPr>
          <w:rFonts w:hint="eastAsia" w:ascii="宋体" w:hAnsi="宋体" w:cs="宋体"/>
          <w:sz w:val="24"/>
          <w:szCs w:val="24"/>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5CD01DB3">
      <w:pPr>
        <w:rPr>
          <w:rFonts w:hint="eastAsia" w:ascii="宋体" w:hAnsi="宋体" w:cs="宋体"/>
          <w:sz w:val="24"/>
          <w:szCs w:val="24"/>
        </w:rPr>
      </w:pPr>
    </w:p>
    <w:p w14:paraId="3B93D5AC">
      <w:pPr>
        <w:rPr>
          <w:rFonts w:hint="eastAsia" w:ascii="宋体" w:hAnsi="宋体" w:cs="宋体"/>
          <w:sz w:val="24"/>
          <w:szCs w:val="24"/>
        </w:rPr>
      </w:pPr>
    </w:p>
    <w:p w14:paraId="1983E7A0">
      <w:pPr>
        <w:rPr>
          <w:rFonts w:hint="eastAsia" w:ascii="宋体" w:hAnsi="宋体" w:cs="宋体"/>
          <w:sz w:val="24"/>
          <w:szCs w:val="24"/>
        </w:rPr>
      </w:pPr>
    </w:p>
    <w:p w14:paraId="0A515325">
      <w:pPr>
        <w:rPr>
          <w:rFonts w:hint="eastAsia" w:ascii="宋体" w:hAnsi="宋体" w:cs="宋体"/>
          <w:sz w:val="24"/>
          <w:szCs w:val="24"/>
        </w:rPr>
      </w:pPr>
    </w:p>
    <w:p w14:paraId="7030CD4B">
      <w:pPr>
        <w:rPr>
          <w:rFonts w:hint="eastAsia" w:ascii="宋体" w:hAnsi="宋体" w:cs="宋体"/>
          <w:sz w:val="24"/>
          <w:szCs w:val="24"/>
        </w:rPr>
      </w:pPr>
    </w:p>
    <w:p w14:paraId="32790C91">
      <w:pPr>
        <w:rPr>
          <w:rFonts w:hint="eastAsia" w:ascii="宋体" w:hAnsi="宋体" w:cs="宋体"/>
          <w:sz w:val="24"/>
          <w:szCs w:val="24"/>
        </w:rPr>
      </w:pPr>
    </w:p>
    <w:p w14:paraId="510BA0B5">
      <w:pPr>
        <w:ind w:firstLine="480"/>
        <w:rPr>
          <w:rFonts w:hint="eastAsia" w:ascii="宋体" w:hAnsi="宋体" w:cs="宋体"/>
          <w:sz w:val="24"/>
          <w:szCs w:val="24"/>
        </w:rPr>
      </w:pPr>
      <w:r>
        <w:rPr>
          <w:rFonts w:hint="eastAsia" w:ascii="宋体" w:hAnsi="宋体" w:cs="宋体"/>
          <w:sz w:val="24"/>
          <w:szCs w:val="24"/>
        </w:rPr>
        <w:t>注：1、供应商如不提供此声明函，价格将不做相应扣除。</w:t>
      </w:r>
    </w:p>
    <w:p w14:paraId="1C37AAA8">
      <w:pPr>
        <w:ind w:firstLine="480"/>
        <w:rPr>
          <w:rFonts w:hint="eastAsia" w:ascii="宋体" w:hAnsi="宋体" w:cs="宋体"/>
          <w:sz w:val="24"/>
          <w:szCs w:val="24"/>
        </w:rPr>
      </w:pPr>
      <w:r>
        <w:rPr>
          <w:rFonts w:hint="eastAsia" w:ascii="宋体" w:hAnsi="宋体" w:cs="宋体"/>
          <w:sz w:val="24"/>
          <w:szCs w:val="24"/>
        </w:rPr>
        <w:t>2、中标供应商为监狱企业的，此声明函将随中标结果同时公告，接受社会监督。供应商按照本办法规定提供声明函内容不实的，属于提供虚假材料谋取中标、成交，依照《中华人民共和国政府采购法》等国家有关规定追究相应责任。</w:t>
      </w:r>
    </w:p>
    <w:p w14:paraId="13B312A9">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22E0D385">
      <w:pPr>
        <w:snapToGrid w:val="0"/>
        <w:spacing w:line="520" w:lineRule="exact"/>
        <w:jc w:val="center"/>
        <w:outlineLvl w:val="3"/>
        <w:rPr>
          <w:rFonts w:ascii="宋体" w:hAnsi="Times New Roman"/>
          <w:b/>
          <w:bCs/>
          <w:color w:val="000000" w:themeColor="text1"/>
          <w:kern w:val="2"/>
          <w:sz w:val="28"/>
          <w:szCs w:val="28"/>
          <w14:textFill>
            <w14:solidFill>
              <w14:schemeClr w14:val="tx1"/>
            </w14:solidFill>
          </w14:textFill>
        </w:rPr>
      </w:pPr>
    </w:p>
    <w:p w14:paraId="62BE2BD9">
      <w:pPr>
        <w:tabs>
          <w:tab w:val="left" w:pos="5665"/>
          <w:tab w:val="right" w:pos="8360"/>
        </w:tabs>
        <w:snapToGrid w:val="0"/>
        <w:spacing w:line="360" w:lineRule="auto"/>
        <w:ind w:right="42"/>
        <w:jc w:val="both"/>
        <w:textAlignment w:val="baseline"/>
        <w:rPr>
          <w:rFonts w:hint="eastAsia" w:ascii="Times New Roman" w:hAnsi="宋体" w:cs="宋体"/>
          <w:b/>
          <w:color w:val="000000" w:themeColor="text1"/>
          <w:kern w:val="2"/>
          <w:sz w:val="24"/>
          <w:szCs w:val="28"/>
          <w14:textFill>
            <w14:solidFill>
              <w14:schemeClr w14:val="tx1"/>
            </w14:solidFill>
          </w14:textFill>
        </w:rPr>
      </w:pPr>
    </w:p>
    <w:sectPr>
      <w:pgSz w:w="11906" w:h="16838"/>
      <w:pgMar w:top="1440" w:right="1133" w:bottom="1440" w:left="1080" w:header="851" w:footer="992"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enlo">
    <w:altName w:val="Segoe Print"/>
    <w:panose1 w:val="020B0609030804020204"/>
    <w:charset w:val="00"/>
    <w:family w:val="auto"/>
    <w:pitch w:val="default"/>
    <w:sig w:usb0="00000000" w:usb1="00000000" w:usb2="02000028" w:usb3="00000000" w:csb0="600001DF" w:csb1="FFDF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00000000000000000"/>
    <w:charset w:val="86"/>
    <w:family w:val="auto"/>
    <w:pitch w:val="default"/>
    <w:sig w:usb0="00000000" w:usb1="00000000" w:usb2="00000012" w:usb3="00000000" w:csb0="00040001" w:csb1="00000000"/>
  </w:font>
  <w:font w:name="创艺简仿宋">
    <w:altName w:val="方正小标宋简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65EFD">
    <w:pPr>
      <w:pStyle w:val="36"/>
      <w:jc w:val="center"/>
    </w:pPr>
    <w:r>
      <w:fldChar w:fldCharType="begin"/>
    </w:r>
    <w:r>
      <w:instrText xml:space="preserve"> PAGE   \* MERGEFORMAT </w:instrText>
    </w:r>
    <w:r>
      <w:fldChar w:fldCharType="separate"/>
    </w:r>
    <w:r>
      <w:rPr>
        <w:lang w:val="zh-CN"/>
      </w:rPr>
      <w:t>54</w:t>
    </w:r>
    <w:r>
      <w:rPr>
        <w:lang w:val="zh-CN"/>
      </w:rPr>
      <w:fldChar w:fldCharType="end"/>
    </w:r>
  </w:p>
  <w:p w14:paraId="1576E22F">
    <w:pPr>
      <w:pStyle w:val="36"/>
    </w:pPr>
  </w:p>
  <w:p w14:paraId="7C8FA6D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06C2D">
    <w:pPr>
      <w:pStyle w:val="36"/>
      <w:jc w:val="center"/>
    </w:pPr>
    <w:r>
      <w:fldChar w:fldCharType="begin"/>
    </w:r>
    <w:r>
      <w:instrText xml:space="preserve"> PAGE   \* MERGEFORMAT </w:instrText>
    </w:r>
    <w:r>
      <w:fldChar w:fldCharType="separate"/>
    </w:r>
    <w:r>
      <w:rPr>
        <w:lang w:val="zh-CN"/>
      </w:rPr>
      <w:t>1</w:t>
    </w:r>
    <w:r>
      <w:rPr>
        <w:lang w:val="zh-CN"/>
      </w:rPr>
      <w:fldChar w:fldCharType="end"/>
    </w:r>
  </w:p>
  <w:p w14:paraId="2042F635">
    <w:pPr>
      <w:pStyle w:val="36"/>
    </w:pPr>
  </w:p>
  <w:p w14:paraId="47406D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D00C7">
    <w:pPr>
      <w:tabs>
        <w:tab w:val="left" w:pos="6300"/>
      </w:tabs>
      <w:spacing w:line="300" w:lineRule="auto"/>
    </w:pPr>
  </w:p>
  <w:p w14:paraId="1721EF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D0DAB">
    <w:pPr>
      <w:tabs>
        <w:tab w:val="left" w:pos="6300"/>
      </w:tabs>
      <w:spacing w:line="300" w:lineRule="auto"/>
    </w:pPr>
  </w:p>
  <w:p w14:paraId="78A3AB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386A69F9"/>
    <w:multiLevelType w:val="multilevel"/>
    <w:tmpl w:val="386A69F9"/>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revisionView w:markup="0"/>
  <w:trackRevisions w:val="1"/>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yODFlNjc0MThhMWJkMGUxNzNjZTIyZDk2ZTNjYmYifQ=="/>
  </w:docVars>
  <w:rsids>
    <w:rsidRoot w:val="00D63923"/>
    <w:rsid w:val="00001F75"/>
    <w:rsid w:val="00014846"/>
    <w:rsid w:val="00031BCB"/>
    <w:rsid w:val="000339EA"/>
    <w:rsid w:val="0004084A"/>
    <w:rsid w:val="000472A1"/>
    <w:rsid w:val="00047ACF"/>
    <w:rsid w:val="00054B2A"/>
    <w:rsid w:val="00060DD9"/>
    <w:rsid w:val="00063D5D"/>
    <w:rsid w:val="00066D61"/>
    <w:rsid w:val="0007412E"/>
    <w:rsid w:val="000748BE"/>
    <w:rsid w:val="000821B4"/>
    <w:rsid w:val="000860AB"/>
    <w:rsid w:val="000901DF"/>
    <w:rsid w:val="000903C5"/>
    <w:rsid w:val="00090FE2"/>
    <w:rsid w:val="000930DF"/>
    <w:rsid w:val="000A3037"/>
    <w:rsid w:val="000A6460"/>
    <w:rsid w:val="000B5FC2"/>
    <w:rsid w:val="000C12A8"/>
    <w:rsid w:val="000D40F8"/>
    <w:rsid w:val="000D4B93"/>
    <w:rsid w:val="000E5D75"/>
    <w:rsid w:val="000E689A"/>
    <w:rsid w:val="001019DF"/>
    <w:rsid w:val="00106492"/>
    <w:rsid w:val="00111053"/>
    <w:rsid w:val="00123CC1"/>
    <w:rsid w:val="0012744D"/>
    <w:rsid w:val="00131FFD"/>
    <w:rsid w:val="00132267"/>
    <w:rsid w:val="001333F0"/>
    <w:rsid w:val="00144942"/>
    <w:rsid w:val="00154D66"/>
    <w:rsid w:val="00160594"/>
    <w:rsid w:val="00160AF5"/>
    <w:rsid w:val="001672C9"/>
    <w:rsid w:val="0017499E"/>
    <w:rsid w:val="00177751"/>
    <w:rsid w:val="001925ED"/>
    <w:rsid w:val="00194AFE"/>
    <w:rsid w:val="001A0223"/>
    <w:rsid w:val="001A3F36"/>
    <w:rsid w:val="001B3EEE"/>
    <w:rsid w:val="001B5A4B"/>
    <w:rsid w:val="001C4538"/>
    <w:rsid w:val="001C5873"/>
    <w:rsid w:val="001D0B8F"/>
    <w:rsid w:val="001D1BC5"/>
    <w:rsid w:val="001D5236"/>
    <w:rsid w:val="00201034"/>
    <w:rsid w:val="00202F6E"/>
    <w:rsid w:val="00211C6A"/>
    <w:rsid w:val="00215B3E"/>
    <w:rsid w:val="00235D91"/>
    <w:rsid w:val="00251BB7"/>
    <w:rsid w:val="00255401"/>
    <w:rsid w:val="002760AD"/>
    <w:rsid w:val="00280362"/>
    <w:rsid w:val="00282FA6"/>
    <w:rsid w:val="002A1C76"/>
    <w:rsid w:val="002A1DB1"/>
    <w:rsid w:val="002B1006"/>
    <w:rsid w:val="002B275A"/>
    <w:rsid w:val="002B55A5"/>
    <w:rsid w:val="002C2823"/>
    <w:rsid w:val="002E714C"/>
    <w:rsid w:val="002F4F0B"/>
    <w:rsid w:val="00303B54"/>
    <w:rsid w:val="00305B8A"/>
    <w:rsid w:val="003110FF"/>
    <w:rsid w:val="003117D7"/>
    <w:rsid w:val="0031321A"/>
    <w:rsid w:val="003141B4"/>
    <w:rsid w:val="00317AE8"/>
    <w:rsid w:val="0032296D"/>
    <w:rsid w:val="00323DD4"/>
    <w:rsid w:val="00330669"/>
    <w:rsid w:val="00350005"/>
    <w:rsid w:val="00350B56"/>
    <w:rsid w:val="003609F8"/>
    <w:rsid w:val="003620D8"/>
    <w:rsid w:val="003663F0"/>
    <w:rsid w:val="0037477E"/>
    <w:rsid w:val="003765B1"/>
    <w:rsid w:val="00382512"/>
    <w:rsid w:val="00396B2C"/>
    <w:rsid w:val="003A4DB8"/>
    <w:rsid w:val="003A5F08"/>
    <w:rsid w:val="003C3BFE"/>
    <w:rsid w:val="003D2E9A"/>
    <w:rsid w:val="003E2C01"/>
    <w:rsid w:val="003E50A1"/>
    <w:rsid w:val="003E7D54"/>
    <w:rsid w:val="003F4EED"/>
    <w:rsid w:val="003F622D"/>
    <w:rsid w:val="003F628D"/>
    <w:rsid w:val="003F6CF3"/>
    <w:rsid w:val="004000D4"/>
    <w:rsid w:val="00403E75"/>
    <w:rsid w:val="004138A1"/>
    <w:rsid w:val="00414888"/>
    <w:rsid w:val="00416971"/>
    <w:rsid w:val="004245BF"/>
    <w:rsid w:val="00435AAB"/>
    <w:rsid w:val="00456B24"/>
    <w:rsid w:val="00460668"/>
    <w:rsid w:val="004714B5"/>
    <w:rsid w:val="00477A47"/>
    <w:rsid w:val="00481374"/>
    <w:rsid w:val="0048627A"/>
    <w:rsid w:val="00493DEC"/>
    <w:rsid w:val="004A67FF"/>
    <w:rsid w:val="004B1B70"/>
    <w:rsid w:val="004B426E"/>
    <w:rsid w:val="004B5F7B"/>
    <w:rsid w:val="004C0DB6"/>
    <w:rsid w:val="004C0F3B"/>
    <w:rsid w:val="004D24EE"/>
    <w:rsid w:val="004D7659"/>
    <w:rsid w:val="004E1BD5"/>
    <w:rsid w:val="004E2DE9"/>
    <w:rsid w:val="004E67CA"/>
    <w:rsid w:val="004F7AFF"/>
    <w:rsid w:val="00503456"/>
    <w:rsid w:val="005119F8"/>
    <w:rsid w:val="00516BEB"/>
    <w:rsid w:val="00517225"/>
    <w:rsid w:val="00523680"/>
    <w:rsid w:val="005254B7"/>
    <w:rsid w:val="00526790"/>
    <w:rsid w:val="00526AE8"/>
    <w:rsid w:val="00537BAD"/>
    <w:rsid w:val="00546BD5"/>
    <w:rsid w:val="00553D50"/>
    <w:rsid w:val="005574D6"/>
    <w:rsid w:val="005615D4"/>
    <w:rsid w:val="00561793"/>
    <w:rsid w:val="005A41B8"/>
    <w:rsid w:val="005B122D"/>
    <w:rsid w:val="005B1D32"/>
    <w:rsid w:val="005B2FAB"/>
    <w:rsid w:val="005B4957"/>
    <w:rsid w:val="005B5193"/>
    <w:rsid w:val="005C3DAD"/>
    <w:rsid w:val="005D05C6"/>
    <w:rsid w:val="005D3D44"/>
    <w:rsid w:val="005D48CA"/>
    <w:rsid w:val="005D5A36"/>
    <w:rsid w:val="005D5A93"/>
    <w:rsid w:val="005D6D07"/>
    <w:rsid w:val="005F0AF2"/>
    <w:rsid w:val="0060016E"/>
    <w:rsid w:val="00600DEC"/>
    <w:rsid w:val="006014DD"/>
    <w:rsid w:val="006152D4"/>
    <w:rsid w:val="00615A4B"/>
    <w:rsid w:val="00617368"/>
    <w:rsid w:val="00621267"/>
    <w:rsid w:val="0062243D"/>
    <w:rsid w:val="006341DD"/>
    <w:rsid w:val="00635EA2"/>
    <w:rsid w:val="00636DAA"/>
    <w:rsid w:val="0064598B"/>
    <w:rsid w:val="0065226F"/>
    <w:rsid w:val="006544C3"/>
    <w:rsid w:val="00654F70"/>
    <w:rsid w:val="00674128"/>
    <w:rsid w:val="0068121C"/>
    <w:rsid w:val="00685A3A"/>
    <w:rsid w:val="00685C78"/>
    <w:rsid w:val="006A6D6C"/>
    <w:rsid w:val="006B4C08"/>
    <w:rsid w:val="006D6719"/>
    <w:rsid w:val="006E2594"/>
    <w:rsid w:val="006E291C"/>
    <w:rsid w:val="006E2A10"/>
    <w:rsid w:val="00703EEE"/>
    <w:rsid w:val="00713145"/>
    <w:rsid w:val="00721FB7"/>
    <w:rsid w:val="007301BE"/>
    <w:rsid w:val="007302B7"/>
    <w:rsid w:val="00731C45"/>
    <w:rsid w:val="00734F2F"/>
    <w:rsid w:val="00735B71"/>
    <w:rsid w:val="007426C7"/>
    <w:rsid w:val="007447D7"/>
    <w:rsid w:val="00770B98"/>
    <w:rsid w:val="00774A0B"/>
    <w:rsid w:val="00782A03"/>
    <w:rsid w:val="007842A8"/>
    <w:rsid w:val="00790EDA"/>
    <w:rsid w:val="0079238D"/>
    <w:rsid w:val="007936DD"/>
    <w:rsid w:val="00797C85"/>
    <w:rsid w:val="007A6534"/>
    <w:rsid w:val="007B3BF4"/>
    <w:rsid w:val="007D3741"/>
    <w:rsid w:val="007E5DCC"/>
    <w:rsid w:val="0080458B"/>
    <w:rsid w:val="00804CC2"/>
    <w:rsid w:val="00806B0E"/>
    <w:rsid w:val="00813BD4"/>
    <w:rsid w:val="00813C08"/>
    <w:rsid w:val="00815AA5"/>
    <w:rsid w:val="00821FEA"/>
    <w:rsid w:val="008224FF"/>
    <w:rsid w:val="00823083"/>
    <w:rsid w:val="00831738"/>
    <w:rsid w:val="00832492"/>
    <w:rsid w:val="00834FF1"/>
    <w:rsid w:val="008467FF"/>
    <w:rsid w:val="00846C35"/>
    <w:rsid w:val="0084788C"/>
    <w:rsid w:val="00852307"/>
    <w:rsid w:val="008536CF"/>
    <w:rsid w:val="00882AE6"/>
    <w:rsid w:val="008928C4"/>
    <w:rsid w:val="0089578F"/>
    <w:rsid w:val="008958A5"/>
    <w:rsid w:val="008B0592"/>
    <w:rsid w:val="008B26F0"/>
    <w:rsid w:val="008C4AD2"/>
    <w:rsid w:val="008E2A06"/>
    <w:rsid w:val="009072C0"/>
    <w:rsid w:val="0092014A"/>
    <w:rsid w:val="00930464"/>
    <w:rsid w:val="009419BC"/>
    <w:rsid w:val="00946B6D"/>
    <w:rsid w:val="00953EEF"/>
    <w:rsid w:val="00960207"/>
    <w:rsid w:val="0096695A"/>
    <w:rsid w:val="009709E5"/>
    <w:rsid w:val="00983838"/>
    <w:rsid w:val="00991BA9"/>
    <w:rsid w:val="0099493F"/>
    <w:rsid w:val="0099677F"/>
    <w:rsid w:val="009969B9"/>
    <w:rsid w:val="009D0849"/>
    <w:rsid w:val="009D1C3B"/>
    <w:rsid w:val="009D24FA"/>
    <w:rsid w:val="009D37D8"/>
    <w:rsid w:val="009E16D1"/>
    <w:rsid w:val="009E26A9"/>
    <w:rsid w:val="009E3180"/>
    <w:rsid w:val="009E65EB"/>
    <w:rsid w:val="009E6810"/>
    <w:rsid w:val="009F79D7"/>
    <w:rsid w:val="00A07354"/>
    <w:rsid w:val="00A10A07"/>
    <w:rsid w:val="00A10ACC"/>
    <w:rsid w:val="00A12646"/>
    <w:rsid w:val="00A12880"/>
    <w:rsid w:val="00A158D1"/>
    <w:rsid w:val="00A16EF9"/>
    <w:rsid w:val="00A23D43"/>
    <w:rsid w:val="00A254B4"/>
    <w:rsid w:val="00A316B0"/>
    <w:rsid w:val="00A34910"/>
    <w:rsid w:val="00A35177"/>
    <w:rsid w:val="00A4537A"/>
    <w:rsid w:val="00A4675D"/>
    <w:rsid w:val="00A46EE9"/>
    <w:rsid w:val="00A47DCD"/>
    <w:rsid w:val="00A51117"/>
    <w:rsid w:val="00A52BCD"/>
    <w:rsid w:val="00A64390"/>
    <w:rsid w:val="00A72A23"/>
    <w:rsid w:val="00A84E47"/>
    <w:rsid w:val="00A85098"/>
    <w:rsid w:val="00A942E1"/>
    <w:rsid w:val="00AC75E2"/>
    <w:rsid w:val="00AD0A0B"/>
    <w:rsid w:val="00AE6635"/>
    <w:rsid w:val="00AF3CE9"/>
    <w:rsid w:val="00B16588"/>
    <w:rsid w:val="00B1795A"/>
    <w:rsid w:val="00B20A16"/>
    <w:rsid w:val="00B21741"/>
    <w:rsid w:val="00B36F22"/>
    <w:rsid w:val="00B37C88"/>
    <w:rsid w:val="00B41DD8"/>
    <w:rsid w:val="00B5026F"/>
    <w:rsid w:val="00B679A9"/>
    <w:rsid w:val="00B67C25"/>
    <w:rsid w:val="00B70186"/>
    <w:rsid w:val="00B73F04"/>
    <w:rsid w:val="00B91C4C"/>
    <w:rsid w:val="00BB18DF"/>
    <w:rsid w:val="00BB5DB9"/>
    <w:rsid w:val="00BC6582"/>
    <w:rsid w:val="00BD13DC"/>
    <w:rsid w:val="00BD1927"/>
    <w:rsid w:val="00BE4B33"/>
    <w:rsid w:val="00BE66CC"/>
    <w:rsid w:val="00C0148A"/>
    <w:rsid w:val="00C078CC"/>
    <w:rsid w:val="00C102A6"/>
    <w:rsid w:val="00C110DB"/>
    <w:rsid w:val="00C26579"/>
    <w:rsid w:val="00C27144"/>
    <w:rsid w:val="00C34DB7"/>
    <w:rsid w:val="00C52023"/>
    <w:rsid w:val="00C553AB"/>
    <w:rsid w:val="00C62557"/>
    <w:rsid w:val="00C62C99"/>
    <w:rsid w:val="00C63577"/>
    <w:rsid w:val="00C64FBC"/>
    <w:rsid w:val="00C70A8C"/>
    <w:rsid w:val="00C71453"/>
    <w:rsid w:val="00C74AA4"/>
    <w:rsid w:val="00C84E22"/>
    <w:rsid w:val="00C91B7F"/>
    <w:rsid w:val="00CA5203"/>
    <w:rsid w:val="00CB5B35"/>
    <w:rsid w:val="00CD10F6"/>
    <w:rsid w:val="00D02007"/>
    <w:rsid w:val="00D077E5"/>
    <w:rsid w:val="00D10FB7"/>
    <w:rsid w:val="00D23F11"/>
    <w:rsid w:val="00D3264B"/>
    <w:rsid w:val="00D34DD2"/>
    <w:rsid w:val="00D37D35"/>
    <w:rsid w:val="00D4523D"/>
    <w:rsid w:val="00D50388"/>
    <w:rsid w:val="00D55997"/>
    <w:rsid w:val="00D63923"/>
    <w:rsid w:val="00D6786F"/>
    <w:rsid w:val="00D745FF"/>
    <w:rsid w:val="00D77471"/>
    <w:rsid w:val="00D8272D"/>
    <w:rsid w:val="00D833B0"/>
    <w:rsid w:val="00D94427"/>
    <w:rsid w:val="00DA4C62"/>
    <w:rsid w:val="00DB386D"/>
    <w:rsid w:val="00DB6D38"/>
    <w:rsid w:val="00DC35BE"/>
    <w:rsid w:val="00E000FE"/>
    <w:rsid w:val="00E05013"/>
    <w:rsid w:val="00E06AC5"/>
    <w:rsid w:val="00E110A1"/>
    <w:rsid w:val="00E11EF8"/>
    <w:rsid w:val="00E15BA9"/>
    <w:rsid w:val="00E22F78"/>
    <w:rsid w:val="00E235E6"/>
    <w:rsid w:val="00E35E11"/>
    <w:rsid w:val="00E36EDC"/>
    <w:rsid w:val="00E4139D"/>
    <w:rsid w:val="00E41751"/>
    <w:rsid w:val="00E4725B"/>
    <w:rsid w:val="00E51353"/>
    <w:rsid w:val="00E55616"/>
    <w:rsid w:val="00E566EF"/>
    <w:rsid w:val="00E75DDD"/>
    <w:rsid w:val="00E766DE"/>
    <w:rsid w:val="00E822AC"/>
    <w:rsid w:val="00E84222"/>
    <w:rsid w:val="00E84251"/>
    <w:rsid w:val="00E870B7"/>
    <w:rsid w:val="00EA39EC"/>
    <w:rsid w:val="00EA6C13"/>
    <w:rsid w:val="00EB165B"/>
    <w:rsid w:val="00EC3499"/>
    <w:rsid w:val="00EC6C03"/>
    <w:rsid w:val="00ED07C0"/>
    <w:rsid w:val="00EF252D"/>
    <w:rsid w:val="00EF6AD7"/>
    <w:rsid w:val="00F200D7"/>
    <w:rsid w:val="00F24278"/>
    <w:rsid w:val="00F334CA"/>
    <w:rsid w:val="00F45AA6"/>
    <w:rsid w:val="00F55D38"/>
    <w:rsid w:val="00F61B34"/>
    <w:rsid w:val="00F76804"/>
    <w:rsid w:val="00F87E4C"/>
    <w:rsid w:val="00F94163"/>
    <w:rsid w:val="00F946F4"/>
    <w:rsid w:val="00F96D28"/>
    <w:rsid w:val="00FA2148"/>
    <w:rsid w:val="00FB0BE2"/>
    <w:rsid w:val="00FB7B4D"/>
    <w:rsid w:val="00FC4201"/>
    <w:rsid w:val="00FC4717"/>
    <w:rsid w:val="017E6F26"/>
    <w:rsid w:val="01FF7DA5"/>
    <w:rsid w:val="023646CE"/>
    <w:rsid w:val="028B5457"/>
    <w:rsid w:val="02B63054"/>
    <w:rsid w:val="02D47275"/>
    <w:rsid w:val="038720C2"/>
    <w:rsid w:val="0390394A"/>
    <w:rsid w:val="051931EE"/>
    <w:rsid w:val="05F30EDC"/>
    <w:rsid w:val="061A58C7"/>
    <w:rsid w:val="069523FE"/>
    <w:rsid w:val="06BD58BB"/>
    <w:rsid w:val="073836D3"/>
    <w:rsid w:val="08170691"/>
    <w:rsid w:val="082F4AD6"/>
    <w:rsid w:val="08B80F70"/>
    <w:rsid w:val="095C5D9F"/>
    <w:rsid w:val="09644C54"/>
    <w:rsid w:val="09AF5ECF"/>
    <w:rsid w:val="0A892BC4"/>
    <w:rsid w:val="0AF526EE"/>
    <w:rsid w:val="0BA74C95"/>
    <w:rsid w:val="0BD806A7"/>
    <w:rsid w:val="0CCC4C0D"/>
    <w:rsid w:val="0CE42C8D"/>
    <w:rsid w:val="0D417786"/>
    <w:rsid w:val="0DDA54E4"/>
    <w:rsid w:val="0E8E3C3C"/>
    <w:rsid w:val="0F670FFA"/>
    <w:rsid w:val="0F6A7CFA"/>
    <w:rsid w:val="109943E9"/>
    <w:rsid w:val="1182211B"/>
    <w:rsid w:val="11B20C52"/>
    <w:rsid w:val="136829BB"/>
    <w:rsid w:val="140C1636"/>
    <w:rsid w:val="141D25CF"/>
    <w:rsid w:val="15602773"/>
    <w:rsid w:val="15C77EF9"/>
    <w:rsid w:val="16783AEC"/>
    <w:rsid w:val="16B719DF"/>
    <w:rsid w:val="17BD63B9"/>
    <w:rsid w:val="192F0DDA"/>
    <w:rsid w:val="19E5593D"/>
    <w:rsid w:val="1ABC044C"/>
    <w:rsid w:val="1B245FF1"/>
    <w:rsid w:val="1B2D759B"/>
    <w:rsid w:val="1B3F2E2B"/>
    <w:rsid w:val="1B4548E5"/>
    <w:rsid w:val="1BB40F61"/>
    <w:rsid w:val="1C0E2142"/>
    <w:rsid w:val="1C575630"/>
    <w:rsid w:val="1CB879C2"/>
    <w:rsid w:val="1CD27612"/>
    <w:rsid w:val="1D556936"/>
    <w:rsid w:val="1E220F0E"/>
    <w:rsid w:val="1E357CE7"/>
    <w:rsid w:val="1F6D29A7"/>
    <w:rsid w:val="1FCD30FB"/>
    <w:rsid w:val="1FF36EA9"/>
    <w:rsid w:val="205630F0"/>
    <w:rsid w:val="20AE4CDA"/>
    <w:rsid w:val="20F46465"/>
    <w:rsid w:val="21B521FF"/>
    <w:rsid w:val="21CC23A7"/>
    <w:rsid w:val="228D0920"/>
    <w:rsid w:val="228D2F3E"/>
    <w:rsid w:val="22D00EE8"/>
    <w:rsid w:val="238735C1"/>
    <w:rsid w:val="23BC770E"/>
    <w:rsid w:val="243F307E"/>
    <w:rsid w:val="24436962"/>
    <w:rsid w:val="2462529B"/>
    <w:rsid w:val="24A81A41"/>
    <w:rsid w:val="24AD6A23"/>
    <w:rsid w:val="250826D0"/>
    <w:rsid w:val="250B089A"/>
    <w:rsid w:val="258204E4"/>
    <w:rsid w:val="26AF355A"/>
    <w:rsid w:val="2709648F"/>
    <w:rsid w:val="274C6FFB"/>
    <w:rsid w:val="2796694C"/>
    <w:rsid w:val="27CE5C62"/>
    <w:rsid w:val="27EE3C0E"/>
    <w:rsid w:val="2867689A"/>
    <w:rsid w:val="28B54FA9"/>
    <w:rsid w:val="28D15D92"/>
    <w:rsid w:val="29093720"/>
    <w:rsid w:val="2967011C"/>
    <w:rsid w:val="298E7379"/>
    <w:rsid w:val="2A135BAE"/>
    <w:rsid w:val="2A3A313B"/>
    <w:rsid w:val="2AED28A3"/>
    <w:rsid w:val="2B285689"/>
    <w:rsid w:val="2C97125D"/>
    <w:rsid w:val="2D510F8C"/>
    <w:rsid w:val="2DA432F5"/>
    <w:rsid w:val="2E6C3ADF"/>
    <w:rsid w:val="2E7F1A64"/>
    <w:rsid w:val="2EA66FF1"/>
    <w:rsid w:val="2F07529A"/>
    <w:rsid w:val="2F154A8F"/>
    <w:rsid w:val="2FF41FDE"/>
    <w:rsid w:val="306C174D"/>
    <w:rsid w:val="30D267C6"/>
    <w:rsid w:val="311C359A"/>
    <w:rsid w:val="31347244"/>
    <w:rsid w:val="313B4C27"/>
    <w:rsid w:val="31C51E84"/>
    <w:rsid w:val="31CA5EC6"/>
    <w:rsid w:val="31D62E51"/>
    <w:rsid w:val="322915B0"/>
    <w:rsid w:val="325F409A"/>
    <w:rsid w:val="32C959A4"/>
    <w:rsid w:val="333449DC"/>
    <w:rsid w:val="33A855B9"/>
    <w:rsid w:val="33E91A1A"/>
    <w:rsid w:val="34721714"/>
    <w:rsid w:val="347E631A"/>
    <w:rsid w:val="349461C2"/>
    <w:rsid w:val="35637F9E"/>
    <w:rsid w:val="35C91817"/>
    <w:rsid w:val="35E458E2"/>
    <w:rsid w:val="362E1B1C"/>
    <w:rsid w:val="366156A6"/>
    <w:rsid w:val="368617B0"/>
    <w:rsid w:val="36941E25"/>
    <w:rsid w:val="36BC74B3"/>
    <w:rsid w:val="37054AD1"/>
    <w:rsid w:val="370C2303"/>
    <w:rsid w:val="37265C89"/>
    <w:rsid w:val="376659DD"/>
    <w:rsid w:val="38FB43DD"/>
    <w:rsid w:val="39E46C49"/>
    <w:rsid w:val="39F50A08"/>
    <w:rsid w:val="39FE2691"/>
    <w:rsid w:val="3AA311EB"/>
    <w:rsid w:val="3BD31641"/>
    <w:rsid w:val="3C067321"/>
    <w:rsid w:val="3C210077"/>
    <w:rsid w:val="3D1561AD"/>
    <w:rsid w:val="3D8B71D2"/>
    <w:rsid w:val="3EB207E0"/>
    <w:rsid w:val="3EF14CBA"/>
    <w:rsid w:val="3F367F1D"/>
    <w:rsid w:val="402F448B"/>
    <w:rsid w:val="40460634"/>
    <w:rsid w:val="40606C5E"/>
    <w:rsid w:val="4073260A"/>
    <w:rsid w:val="41DE664A"/>
    <w:rsid w:val="420C31B7"/>
    <w:rsid w:val="42116D2D"/>
    <w:rsid w:val="427A64AB"/>
    <w:rsid w:val="42FA74B4"/>
    <w:rsid w:val="43397FDC"/>
    <w:rsid w:val="437E3C25"/>
    <w:rsid w:val="43A40DE2"/>
    <w:rsid w:val="44274B06"/>
    <w:rsid w:val="44330622"/>
    <w:rsid w:val="446F129A"/>
    <w:rsid w:val="44B45AF2"/>
    <w:rsid w:val="4531257A"/>
    <w:rsid w:val="45A60A24"/>
    <w:rsid w:val="45D564D1"/>
    <w:rsid w:val="46240264"/>
    <w:rsid w:val="469020C9"/>
    <w:rsid w:val="47282FE0"/>
    <w:rsid w:val="47486CB4"/>
    <w:rsid w:val="47A143A2"/>
    <w:rsid w:val="4860600B"/>
    <w:rsid w:val="489625C8"/>
    <w:rsid w:val="48D3136B"/>
    <w:rsid w:val="497C0C22"/>
    <w:rsid w:val="49D24CE6"/>
    <w:rsid w:val="49DA7C04"/>
    <w:rsid w:val="49F66C27"/>
    <w:rsid w:val="4A323C48"/>
    <w:rsid w:val="4AD52CE0"/>
    <w:rsid w:val="4BFA1C12"/>
    <w:rsid w:val="4C217CE4"/>
    <w:rsid w:val="4C9A1585"/>
    <w:rsid w:val="4D183358"/>
    <w:rsid w:val="4D8A359A"/>
    <w:rsid w:val="4E157897"/>
    <w:rsid w:val="4E200716"/>
    <w:rsid w:val="4E9A0982"/>
    <w:rsid w:val="4EC372F3"/>
    <w:rsid w:val="4F1E0E6C"/>
    <w:rsid w:val="4F702FD7"/>
    <w:rsid w:val="4F952A3E"/>
    <w:rsid w:val="4FA1500B"/>
    <w:rsid w:val="4FAD6D95"/>
    <w:rsid w:val="4FE37C4D"/>
    <w:rsid w:val="503B1837"/>
    <w:rsid w:val="503D63F8"/>
    <w:rsid w:val="50C03AEB"/>
    <w:rsid w:val="50C555A5"/>
    <w:rsid w:val="512F2A1E"/>
    <w:rsid w:val="513B7615"/>
    <w:rsid w:val="51EB061E"/>
    <w:rsid w:val="51F223CA"/>
    <w:rsid w:val="522B76F6"/>
    <w:rsid w:val="52505342"/>
    <w:rsid w:val="52CE786D"/>
    <w:rsid w:val="533B5216"/>
    <w:rsid w:val="537750EC"/>
    <w:rsid w:val="53E60F09"/>
    <w:rsid w:val="55214D74"/>
    <w:rsid w:val="552F6762"/>
    <w:rsid w:val="5630169C"/>
    <w:rsid w:val="56551E5D"/>
    <w:rsid w:val="568931F0"/>
    <w:rsid w:val="57BD259B"/>
    <w:rsid w:val="57E31E9C"/>
    <w:rsid w:val="57FD78DC"/>
    <w:rsid w:val="593E58F0"/>
    <w:rsid w:val="594A3E93"/>
    <w:rsid w:val="59653481"/>
    <w:rsid w:val="5A0058E1"/>
    <w:rsid w:val="5A533C21"/>
    <w:rsid w:val="5ABD3BA8"/>
    <w:rsid w:val="5B1F4360"/>
    <w:rsid w:val="5B3C6463"/>
    <w:rsid w:val="5B4E6197"/>
    <w:rsid w:val="5B8816A9"/>
    <w:rsid w:val="5BD44056"/>
    <w:rsid w:val="5BFB7175"/>
    <w:rsid w:val="5CE60C42"/>
    <w:rsid w:val="5DA4240B"/>
    <w:rsid w:val="5ECF75EF"/>
    <w:rsid w:val="5ED1697B"/>
    <w:rsid w:val="5F0650D0"/>
    <w:rsid w:val="5FAA0F50"/>
    <w:rsid w:val="601730BE"/>
    <w:rsid w:val="607E307A"/>
    <w:rsid w:val="60BB2256"/>
    <w:rsid w:val="61203AA3"/>
    <w:rsid w:val="61B04D50"/>
    <w:rsid w:val="61C8362E"/>
    <w:rsid w:val="623B7475"/>
    <w:rsid w:val="626544F2"/>
    <w:rsid w:val="62956A80"/>
    <w:rsid w:val="63234856"/>
    <w:rsid w:val="63411CBC"/>
    <w:rsid w:val="65384140"/>
    <w:rsid w:val="662841B4"/>
    <w:rsid w:val="670F2C7E"/>
    <w:rsid w:val="68190258"/>
    <w:rsid w:val="682664D1"/>
    <w:rsid w:val="68531E86"/>
    <w:rsid w:val="68660FC4"/>
    <w:rsid w:val="68D26207"/>
    <w:rsid w:val="694D5CE0"/>
    <w:rsid w:val="699D1F51"/>
    <w:rsid w:val="6AB1551C"/>
    <w:rsid w:val="6B165B0C"/>
    <w:rsid w:val="6B525A14"/>
    <w:rsid w:val="6BC009EB"/>
    <w:rsid w:val="6BD8236E"/>
    <w:rsid w:val="6BDA6B3A"/>
    <w:rsid w:val="6BE034AF"/>
    <w:rsid w:val="6CB41E57"/>
    <w:rsid w:val="6DFF3979"/>
    <w:rsid w:val="6EA97E5C"/>
    <w:rsid w:val="6F467459"/>
    <w:rsid w:val="6FC85B74"/>
    <w:rsid w:val="706C7393"/>
    <w:rsid w:val="71664EBF"/>
    <w:rsid w:val="71D84CE0"/>
    <w:rsid w:val="72872262"/>
    <w:rsid w:val="7355410F"/>
    <w:rsid w:val="73563B48"/>
    <w:rsid w:val="736E6F7E"/>
    <w:rsid w:val="739F4BCF"/>
    <w:rsid w:val="73CD1EF7"/>
    <w:rsid w:val="741B7039"/>
    <w:rsid w:val="74532196"/>
    <w:rsid w:val="753D12FE"/>
    <w:rsid w:val="755C79D6"/>
    <w:rsid w:val="75F96FD3"/>
    <w:rsid w:val="760D5A93"/>
    <w:rsid w:val="7641097A"/>
    <w:rsid w:val="76490E40"/>
    <w:rsid w:val="76F64AF2"/>
    <w:rsid w:val="781A488B"/>
    <w:rsid w:val="7A455891"/>
    <w:rsid w:val="7BDA78A7"/>
    <w:rsid w:val="7D32226E"/>
    <w:rsid w:val="7D3C4F18"/>
    <w:rsid w:val="7D5F76CD"/>
    <w:rsid w:val="7F4A6AF1"/>
    <w:rsid w:val="7F7D0C75"/>
    <w:rsid w:val="7F8E217B"/>
    <w:rsid w:val="7F8F09A8"/>
    <w:rsid w:val="FEF9F0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0" w:semiHidden="0" w:name="annotation reference"/>
    <w:lsdException w:qFormat="1" w:unhideWhenUsed="0" w:uiPriority="0" w:semiHidden="0" w:name="line number"/>
    <w:lsdException w:qFormat="1" w:unhideWhenUsed="0" w:uiPriority="0" w:semiHidden="0" w:name="page number"/>
    <w:lsdException w:qFormat="1" w:uiPriority="99" w:name="endnote reference"/>
    <w:lsdException w:qFormat="1"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paragraph" w:styleId="2">
    <w:name w:val="heading 1"/>
    <w:basedOn w:val="1"/>
    <w:next w:val="1"/>
    <w:link w:val="225"/>
    <w:qFormat/>
    <w:uiPriority w:val="0"/>
    <w:pPr>
      <w:keepNext/>
      <w:keepLines/>
      <w:spacing w:before="340" w:after="330" w:line="578" w:lineRule="auto"/>
      <w:outlineLvl w:val="0"/>
    </w:pPr>
    <w:rPr>
      <w:rFonts w:eastAsia="楷体_GB2312"/>
      <w:b/>
      <w:sz w:val="44"/>
      <w:szCs w:val="20"/>
    </w:rPr>
  </w:style>
  <w:style w:type="paragraph" w:styleId="3">
    <w:name w:val="heading 2"/>
    <w:basedOn w:val="1"/>
    <w:next w:val="1"/>
    <w:link w:val="226"/>
    <w:qFormat/>
    <w:uiPriority w:val="0"/>
    <w:pPr>
      <w:keepNext/>
      <w:keepLines/>
      <w:spacing w:line="360" w:lineRule="auto"/>
      <w:outlineLvl w:val="1"/>
    </w:pPr>
    <w:rPr>
      <w:rFonts w:ascii="Cambria" w:hAnsi="Cambria"/>
      <w:b/>
      <w:bCs/>
      <w:sz w:val="32"/>
      <w:szCs w:val="32"/>
    </w:rPr>
  </w:style>
  <w:style w:type="paragraph" w:styleId="4">
    <w:name w:val="heading 3"/>
    <w:basedOn w:val="1"/>
    <w:next w:val="5"/>
    <w:link w:val="227"/>
    <w:autoRedefine/>
    <w:qFormat/>
    <w:uiPriority w:val="99"/>
    <w:pPr>
      <w:widowControl/>
      <w:spacing w:before="100" w:beforeAutospacing="1" w:after="100" w:afterAutospacing="1"/>
      <w:jc w:val="left"/>
      <w:outlineLvl w:val="2"/>
    </w:pPr>
    <w:rPr>
      <w:rFonts w:ascii="宋体" w:hAnsi="宋体"/>
      <w:b/>
      <w:bCs/>
      <w:sz w:val="27"/>
      <w:szCs w:val="27"/>
      <w:lang w:eastAsia="en-US"/>
    </w:rPr>
  </w:style>
  <w:style w:type="paragraph" w:styleId="5">
    <w:name w:val="heading 4"/>
    <w:basedOn w:val="1"/>
    <w:next w:val="1"/>
    <w:link w:val="228"/>
    <w:qFormat/>
    <w:uiPriority w:val="0"/>
    <w:pPr>
      <w:keepNext/>
      <w:keepLines/>
      <w:spacing w:before="280" w:after="290" w:line="376" w:lineRule="auto"/>
      <w:outlineLvl w:val="3"/>
    </w:pPr>
    <w:rPr>
      <w:rFonts w:ascii="Arial" w:hAnsi="Arial" w:eastAsia="黑体"/>
      <w:b/>
      <w:bCs/>
      <w:sz w:val="28"/>
      <w:szCs w:val="28"/>
      <w:lang w:eastAsia="en-US"/>
    </w:rPr>
  </w:style>
  <w:style w:type="paragraph" w:styleId="6">
    <w:name w:val="heading 5"/>
    <w:basedOn w:val="1"/>
    <w:next w:val="7"/>
    <w:link w:val="229"/>
    <w:qFormat/>
    <w:uiPriority w:val="0"/>
    <w:pPr>
      <w:keepNext/>
      <w:keepLines/>
      <w:tabs>
        <w:tab w:val="left" w:pos="1008"/>
      </w:tabs>
      <w:spacing w:before="280" w:after="290" w:line="376" w:lineRule="auto"/>
      <w:outlineLvl w:val="4"/>
    </w:pPr>
    <w:rPr>
      <w:rFonts w:ascii="宋体"/>
      <w:b/>
      <w:spacing w:val="-2"/>
      <w:position w:val="-6"/>
      <w:sz w:val="28"/>
      <w:szCs w:val="20"/>
    </w:rPr>
  </w:style>
  <w:style w:type="paragraph" w:styleId="8">
    <w:name w:val="heading 6"/>
    <w:basedOn w:val="1"/>
    <w:next w:val="7"/>
    <w:link w:val="231"/>
    <w:qFormat/>
    <w:uiPriority w:val="0"/>
    <w:pPr>
      <w:keepNext/>
      <w:keepLines/>
      <w:tabs>
        <w:tab w:val="left" w:pos="1152"/>
      </w:tabs>
      <w:spacing w:before="240" w:after="64" w:line="320" w:lineRule="auto"/>
      <w:outlineLvl w:val="5"/>
    </w:pPr>
    <w:rPr>
      <w:rFonts w:ascii="Arial" w:hAnsi="Arial" w:eastAsia="黑体"/>
      <w:b/>
      <w:spacing w:val="-2"/>
      <w:position w:val="-6"/>
      <w:sz w:val="24"/>
      <w:szCs w:val="20"/>
    </w:rPr>
  </w:style>
  <w:style w:type="paragraph" w:styleId="9">
    <w:name w:val="heading 7"/>
    <w:basedOn w:val="1"/>
    <w:next w:val="7"/>
    <w:link w:val="232"/>
    <w:qFormat/>
    <w:uiPriority w:val="0"/>
    <w:pPr>
      <w:keepNext/>
      <w:keepLines/>
      <w:tabs>
        <w:tab w:val="left" w:pos="1296"/>
      </w:tabs>
      <w:spacing w:before="240" w:after="64" w:line="320" w:lineRule="auto"/>
      <w:outlineLvl w:val="6"/>
    </w:pPr>
    <w:rPr>
      <w:rFonts w:ascii="宋体"/>
      <w:b/>
      <w:spacing w:val="-2"/>
      <w:position w:val="-6"/>
      <w:sz w:val="24"/>
      <w:szCs w:val="20"/>
    </w:rPr>
  </w:style>
  <w:style w:type="paragraph" w:styleId="10">
    <w:name w:val="heading 8"/>
    <w:basedOn w:val="1"/>
    <w:next w:val="7"/>
    <w:link w:val="233"/>
    <w:qFormat/>
    <w:uiPriority w:val="0"/>
    <w:pPr>
      <w:keepNext/>
      <w:keepLines/>
      <w:tabs>
        <w:tab w:val="left" w:pos="1440"/>
      </w:tabs>
      <w:spacing w:before="240" w:after="64" w:line="320" w:lineRule="auto"/>
      <w:outlineLvl w:val="7"/>
    </w:pPr>
    <w:rPr>
      <w:rFonts w:ascii="Arial" w:hAnsi="Arial" w:eastAsia="黑体"/>
      <w:spacing w:val="-2"/>
      <w:position w:val="-6"/>
      <w:sz w:val="24"/>
      <w:szCs w:val="20"/>
    </w:rPr>
  </w:style>
  <w:style w:type="paragraph" w:styleId="11">
    <w:name w:val="heading 9"/>
    <w:basedOn w:val="1"/>
    <w:next w:val="7"/>
    <w:link w:val="234"/>
    <w:qFormat/>
    <w:uiPriority w:val="0"/>
    <w:pPr>
      <w:keepNext/>
      <w:keepLines/>
      <w:tabs>
        <w:tab w:val="left" w:pos="1584"/>
      </w:tabs>
      <w:spacing w:before="240" w:after="64" w:line="320" w:lineRule="auto"/>
      <w:outlineLvl w:val="8"/>
    </w:pPr>
    <w:rPr>
      <w:rFonts w:ascii="Arial" w:hAnsi="Arial" w:eastAsia="黑体"/>
      <w:spacing w:val="-2"/>
      <w:position w:val="-6"/>
      <w:sz w:val="28"/>
      <w:szCs w:val="20"/>
    </w:rPr>
  </w:style>
  <w:style w:type="character" w:default="1" w:styleId="61">
    <w:name w:val="Default Paragraph Font"/>
    <w:semiHidden/>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230"/>
    <w:autoRedefine/>
    <w:qFormat/>
    <w:uiPriority w:val="0"/>
    <w:pPr>
      <w:ind w:firstLine="420"/>
      <w:jc w:val="left"/>
    </w:pPr>
    <w:rPr>
      <w:rFonts w:eastAsia="楷体_GB2312"/>
      <w:sz w:val="24"/>
      <w:szCs w:val="20"/>
      <w:lang w:eastAsia="en-US"/>
    </w:rPr>
  </w:style>
  <w:style w:type="paragraph" w:styleId="12">
    <w:name w:val="toc 7"/>
    <w:basedOn w:val="1"/>
    <w:next w:val="1"/>
    <w:autoRedefine/>
    <w:unhideWhenUsed/>
    <w:qFormat/>
    <w:uiPriority w:val="39"/>
    <w:pPr>
      <w:spacing w:after="57"/>
      <w:ind w:left="1701"/>
    </w:pPr>
  </w:style>
  <w:style w:type="paragraph" w:styleId="13">
    <w:name w:val="table of authorities"/>
    <w:basedOn w:val="1"/>
    <w:next w:val="1"/>
    <w:qFormat/>
    <w:uiPriority w:val="99"/>
    <w:pPr>
      <w:ind w:left="420" w:leftChars="200"/>
    </w:pPr>
    <w:rPr>
      <w:rFonts w:ascii="Calibri" w:hAnsi="Calibri" w:eastAsia="宋体"/>
      <w:sz w:val="24"/>
    </w:rPr>
  </w:style>
  <w:style w:type="paragraph" w:styleId="14">
    <w:name w:val="index 8"/>
    <w:basedOn w:val="1"/>
    <w:next w:val="1"/>
    <w:autoRedefine/>
    <w:qFormat/>
    <w:uiPriority w:val="0"/>
    <w:pPr>
      <w:ind w:left="2940"/>
    </w:pPr>
    <w:rPr>
      <w:rFonts w:eastAsia="楷体_GB2312"/>
      <w:sz w:val="26"/>
      <w:szCs w:val="20"/>
    </w:rPr>
  </w:style>
  <w:style w:type="paragraph" w:styleId="15">
    <w:name w:val="caption"/>
    <w:basedOn w:val="1"/>
    <w:next w:val="1"/>
    <w:autoRedefine/>
    <w:semiHidden/>
    <w:unhideWhenUsed/>
    <w:qFormat/>
    <w:uiPriority w:val="35"/>
    <w:pPr>
      <w:spacing w:line="276" w:lineRule="auto"/>
    </w:pPr>
    <w:rPr>
      <w:b/>
      <w:bCs/>
      <w:color w:val="4F81BD"/>
      <w:sz w:val="18"/>
      <w:szCs w:val="18"/>
    </w:rPr>
  </w:style>
  <w:style w:type="paragraph" w:styleId="16">
    <w:name w:val="index 5"/>
    <w:basedOn w:val="1"/>
    <w:next w:val="1"/>
    <w:autoRedefine/>
    <w:qFormat/>
    <w:uiPriority w:val="0"/>
    <w:pPr>
      <w:ind w:left="1680"/>
    </w:pPr>
    <w:rPr>
      <w:rFonts w:eastAsia="楷体_GB2312"/>
      <w:sz w:val="26"/>
      <w:szCs w:val="20"/>
    </w:rPr>
  </w:style>
  <w:style w:type="paragraph" w:styleId="17">
    <w:name w:val="Document Map"/>
    <w:basedOn w:val="1"/>
    <w:link w:val="236"/>
    <w:autoRedefine/>
    <w:unhideWhenUsed/>
    <w:qFormat/>
    <w:uiPriority w:val="0"/>
    <w:rPr>
      <w:rFonts w:ascii="宋体"/>
      <w:sz w:val="18"/>
      <w:szCs w:val="18"/>
    </w:rPr>
  </w:style>
  <w:style w:type="paragraph" w:styleId="18">
    <w:name w:val="annotation text"/>
    <w:basedOn w:val="1"/>
    <w:link w:val="237"/>
    <w:unhideWhenUsed/>
    <w:qFormat/>
    <w:uiPriority w:val="0"/>
    <w:pPr>
      <w:jc w:val="left"/>
    </w:pPr>
  </w:style>
  <w:style w:type="paragraph" w:styleId="19">
    <w:name w:val="index 6"/>
    <w:basedOn w:val="1"/>
    <w:next w:val="1"/>
    <w:autoRedefine/>
    <w:qFormat/>
    <w:uiPriority w:val="0"/>
    <w:pPr>
      <w:ind w:left="2100"/>
    </w:pPr>
    <w:rPr>
      <w:rFonts w:eastAsia="楷体_GB2312"/>
      <w:sz w:val="26"/>
      <w:szCs w:val="20"/>
    </w:rPr>
  </w:style>
  <w:style w:type="paragraph" w:styleId="20">
    <w:name w:val="Body Text"/>
    <w:basedOn w:val="1"/>
    <w:next w:val="21"/>
    <w:link w:val="238"/>
    <w:qFormat/>
    <w:uiPriority w:val="0"/>
    <w:pPr>
      <w:spacing w:after="120"/>
    </w:pPr>
    <w:rPr>
      <w:rFonts w:ascii="Times New Roman" w:hAnsi="Times New Roman"/>
    </w:rPr>
  </w:style>
  <w:style w:type="paragraph" w:customStyle="1" w:styleId="21">
    <w:name w:val="Default"/>
    <w:qFormat/>
    <w:uiPriority w:val="0"/>
    <w:pPr>
      <w:widowControl w:val="0"/>
    </w:pPr>
    <w:rPr>
      <w:rFonts w:ascii="微软雅黑" w:hAnsi="Times New Roman" w:eastAsia="微软雅黑" w:cs="微软雅黑"/>
      <w:color w:val="000000"/>
      <w:sz w:val="24"/>
      <w:szCs w:val="24"/>
      <w:lang w:val="en-US" w:eastAsia="zh-CN" w:bidi="ar-SA"/>
    </w:rPr>
  </w:style>
  <w:style w:type="paragraph" w:styleId="22">
    <w:name w:val="Body Text Indent"/>
    <w:basedOn w:val="1"/>
    <w:next w:val="23"/>
    <w:link w:val="223"/>
    <w:unhideWhenUsed/>
    <w:qFormat/>
    <w:uiPriority w:val="0"/>
    <w:pPr>
      <w:spacing w:after="120"/>
      <w:ind w:left="420"/>
    </w:pPr>
  </w:style>
  <w:style w:type="paragraph" w:styleId="23">
    <w:name w:val="Body Text First Indent 2"/>
    <w:basedOn w:val="22"/>
    <w:next w:val="1"/>
    <w:link w:val="418"/>
    <w:semiHidden/>
    <w:unhideWhenUsed/>
    <w:qFormat/>
    <w:uiPriority w:val="99"/>
    <w:pPr>
      <w:ind w:left="200" w:leftChars="200" w:firstLine="420" w:firstLineChars="200"/>
    </w:pPr>
  </w:style>
  <w:style w:type="paragraph" w:styleId="24">
    <w:name w:val="List 2"/>
    <w:basedOn w:val="1"/>
    <w:qFormat/>
    <w:uiPriority w:val="0"/>
    <w:pPr>
      <w:ind w:left="100" w:hanging="200"/>
    </w:pPr>
  </w:style>
  <w:style w:type="paragraph" w:styleId="25">
    <w:name w:val="Block Text"/>
    <w:basedOn w:val="1"/>
    <w:qFormat/>
    <w:uiPriority w:val="0"/>
    <w:pPr>
      <w:spacing w:line="360" w:lineRule="auto"/>
      <w:ind w:firstLine="640"/>
      <w:jc w:val="left"/>
    </w:pPr>
    <w:rPr>
      <w:rFonts w:ascii="Times New Roman" w:hAnsi="Times New Roman"/>
      <w:sz w:val="24"/>
    </w:rPr>
  </w:style>
  <w:style w:type="paragraph" w:styleId="26">
    <w:name w:val="index 4"/>
    <w:basedOn w:val="1"/>
    <w:next w:val="1"/>
    <w:qFormat/>
    <w:uiPriority w:val="0"/>
    <w:pPr>
      <w:ind w:left="1260"/>
    </w:pPr>
    <w:rPr>
      <w:szCs w:val="20"/>
    </w:rPr>
  </w:style>
  <w:style w:type="paragraph" w:styleId="27">
    <w:name w:val="toc 5"/>
    <w:basedOn w:val="1"/>
    <w:next w:val="1"/>
    <w:unhideWhenUsed/>
    <w:qFormat/>
    <w:uiPriority w:val="39"/>
    <w:pPr>
      <w:spacing w:after="57"/>
      <w:ind w:left="1134"/>
    </w:pPr>
  </w:style>
  <w:style w:type="paragraph" w:styleId="28">
    <w:name w:val="toc 3"/>
    <w:basedOn w:val="1"/>
    <w:next w:val="1"/>
    <w:unhideWhenUsed/>
    <w:qFormat/>
    <w:uiPriority w:val="39"/>
    <w:pPr>
      <w:spacing w:after="57"/>
      <w:ind w:left="567"/>
    </w:pPr>
  </w:style>
  <w:style w:type="paragraph" w:styleId="29">
    <w:name w:val="Plain Text"/>
    <w:basedOn w:val="1"/>
    <w:next w:val="1"/>
    <w:link w:val="242"/>
    <w:qFormat/>
    <w:uiPriority w:val="0"/>
    <w:rPr>
      <w:rFonts w:ascii="宋体" w:hAnsi="Courier New"/>
      <w:szCs w:val="20"/>
      <w:lang w:eastAsia="en-US"/>
    </w:rPr>
  </w:style>
  <w:style w:type="paragraph" w:styleId="30">
    <w:name w:val="toc 8"/>
    <w:basedOn w:val="1"/>
    <w:next w:val="1"/>
    <w:unhideWhenUsed/>
    <w:qFormat/>
    <w:uiPriority w:val="39"/>
    <w:pPr>
      <w:spacing w:after="57"/>
      <w:ind w:left="1984"/>
    </w:pPr>
  </w:style>
  <w:style w:type="paragraph" w:styleId="31">
    <w:name w:val="index 3"/>
    <w:basedOn w:val="1"/>
    <w:next w:val="1"/>
    <w:qFormat/>
    <w:uiPriority w:val="0"/>
    <w:pPr>
      <w:ind w:left="840"/>
    </w:pPr>
    <w:rPr>
      <w:rFonts w:eastAsia="楷体_GB2312"/>
      <w:sz w:val="26"/>
      <w:szCs w:val="20"/>
    </w:rPr>
  </w:style>
  <w:style w:type="paragraph" w:styleId="32">
    <w:name w:val="Date"/>
    <w:basedOn w:val="1"/>
    <w:next w:val="1"/>
    <w:link w:val="244"/>
    <w:qFormat/>
    <w:uiPriority w:val="0"/>
    <w:rPr>
      <w:rFonts w:ascii="宋体" w:hAnsi="宋体" w:eastAsia="楷体_GB2312"/>
      <w:sz w:val="24"/>
      <w:szCs w:val="20"/>
    </w:rPr>
  </w:style>
  <w:style w:type="paragraph" w:styleId="33">
    <w:name w:val="Body Text Indent 2"/>
    <w:basedOn w:val="1"/>
    <w:link w:val="245"/>
    <w:qFormat/>
    <w:uiPriority w:val="0"/>
    <w:pPr>
      <w:tabs>
        <w:tab w:val="left" w:pos="0"/>
      </w:tabs>
      <w:spacing w:line="360" w:lineRule="auto"/>
      <w:ind w:firstLine="502"/>
    </w:pPr>
    <w:rPr>
      <w:rFonts w:ascii="宋体"/>
      <w:b/>
      <w:bCs/>
      <w:sz w:val="24"/>
      <w:szCs w:val="20"/>
    </w:rPr>
  </w:style>
  <w:style w:type="paragraph" w:styleId="34">
    <w:name w:val="endnote text"/>
    <w:basedOn w:val="1"/>
    <w:link w:val="220"/>
    <w:semiHidden/>
    <w:unhideWhenUsed/>
    <w:qFormat/>
    <w:uiPriority w:val="99"/>
    <w:rPr>
      <w:sz w:val="20"/>
    </w:rPr>
  </w:style>
  <w:style w:type="paragraph" w:styleId="35">
    <w:name w:val="Balloon Text"/>
    <w:basedOn w:val="1"/>
    <w:link w:val="246"/>
    <w:unhideWhenUsed/>
    <w:qFormat/>
    <w:uiPriority w:val="0"/>
    <w:rPr>
      <w:sz w:val="18"/>
      <w:szCs w:val="18"/>
    </w:rPr>
  </w:style>
  <w:style w:type="paragraph" w:styleId="36">
    <w:name w:val="footer"/>
    <w:basedOn w:val="1"/>
    <w:link w:val="247"/>
    <w:unhideWhenUsed/>
    <w:qFormat/>
    <w:uiPriority w:val="99"/>
    <w:pPr>
      <w:tabs>
        <w:tab w:val="center" w:pos="4153"/>
        <w:tab w:val="right" w:pos="8306"/>
      </w:tabs>
      <w:jc w:val="left"/>
    </w:pPr>
    <w:rPr>
      <w:sz w:val="18"/>
      <w:szCs w:val="18"/>
    </w:rPr>
  </w:style>
  <w:style w:type="paragraph" w:styleId="37">
    <w:name w:val="envelope return"/>
    <w:basedOn w:val="1"/>
    <w:unhideWhenUsed/>
    <w:qFormat/>
    <w:uiPriority w:val="99"/>
    <w:rPr>
      <w:rFonts w:ascii="Arial" w:hAnsi="Arial" w:eastAsia="楷体_GB2312"/>
      <w:sz w:val="26"/>
      <w:szCs w:val="20"/>
    </w:rPr>
  </w:style>
  <w:style w:type="paragraph" w:styleId="38">
    <w:name w:val="header"/>
    <w:basedOn w:val="1"/>
    <w:link w:val="248"/>
    <w:unhideWhenUsed/>
    <w:qFormat/>
    <w:uiPriority w:val="99"/>
    <w:pPr>
      <w:pBdr>
        <w:bottom w:val="single" w:color="000000" w:sz="6" w:space="1"/>
      </w:pBdr>
      <w:tabs>
        <w:tab w:val="center" w:pos="4153"/>
        <w:tab w:val="right" w:pos="8306"/>
      </w:tabs>
      <w:jc w:val="center"/>
    </w:pPr>
    <w:rPr>
      <w:sz w:val="18"/>
      <w:szCs w:val="18"/>
    </w:rPr>
  </w:style>
  <w:style w:type="paragraph" w:styleId="39">
    <w:name w:val="Signature"/>
    <w:basedOn w:val="1"/>
    <w:link w:val="249"/>
    <w:qFormat/>
    <w:uiPriority w:val="0"/>
    <w:pPr>
      <w:spacing w:after="600" w:line="312" w:lineRule="atLeast"/>
      <w:jc w:val="center"/>
    </w:pPr>
    <w:rPr>
      <w:rFonts w:eastAsia="仿宋_GB2312"/>
      <w:sz w:val="24"/>
      <w:szCs w:val="20"/>
    </w:rPr>
  </w:style>
  <w:style w:type="paragraph" w:styleId="40">
    <w:name w:val="toc 1"/>
    <w:basedOn w:val="1"/>
    <w:next w:val="1"/>
    <w:unhideWhenUsed/>
    <w:qFormat/>
    <w:uiPriority w:val="39"/>
    <w:pPr>
      <w:spacing w:after="57"/>
    </w:pPr>
  </w:style>
  <w:style w:type="paragraph" w:styleId="41">
    <w:name w:val="toc 4"/>
    <w:basedOn w:val="1"/>
    <w:next w:val="1"/>
    <w:unhideWhenUsed/>
    <w:qFormat/>
    <w:uiPriority w:val="39"/>
    <w:pPr>
      <w:spacing w:after="57"/>
      <w:ind w:left="850"/>
    </w:pPr>
  </w:style>
  <w:style w:type="paragraph" w:styleId="42">
    <w:name w:val="index heading"/>
    <w:basedOn w:val="1"/>
    <w:next w:val="43"/>
    <w:qFormat/>
    <w:uiPriority w:val="0"/>
    <w:rPr>
      <w:rFonts w:eastAsia="楷体_GB2312"/>
      <w:sz w:val="26"/>
      <w:szCs w:val="20"/>
    </w:rPr>
  </w:style>
  <w:style w:type="paragraph" w:styleId="43">
    <w:name w:val="index 1"/>
    <w:basedOn w:val="1"/>
    <w:next w:val="1"/>
    <w:unhideWhenUsed/>
    <w:qFormat/>
    <w:uiPriority w:val="0"/>
  </w:style>
  <w:style w:type="paragraph" w:styleId="44">
    <w:name w:val="Subtitle"/>
    <w:basedOn w:val="1"/>
    <w:next w:val="1"/>
    <w:link w:val="87"/>
    <w:qFormat/>
    <w:uiPriority w:val="11"/>
    <w:pPr>
      <w:spacing w:before="200" w:after="200"/>
    </w:pPr>
    <w:rPr>
      <w:sz w:val="24"/>
      <w:szCs w:val="24"/>
    </w:rPr>
  </w:style>
  <w:style w:type="paragraph" w:styleId="45">
    <w:name w:val="footnote text"/>
    <w:basedOn w:val="1"/>
    <w:link w:val="252"/>
    <w:qFormat/>
    <w:uiPriority w:val="0"/>
    <w:pPr>
      <w:jc w:val="left"/>
    </w:pPr>
    <w:rPr>
      <w:rFonts w:eastAsia="楷体_GB2312"/>
      <w:sz w:val="18"/>
      <w:szCs w:val="20"/>
    </w:rPr>
  </w:style>
  <w:style w:type="paragraph" w:styleId="46">
    <w:name w:val="toc 6"/>
    <w:basedOn w:val="1"/>
    <w:next w:val="1"/>
    <w:unhideWhenUsed/>
    <w:qFormat/>
    <w:uiPriority w:val="39"/>
    <w:pPr>
      <w:spacing w:after="57"/>
      <w:ind w:left="1417"/>
    </w:pPr>
  </w:style>
  <w:style w:type="paragraph" w:styleId="47">
    <w:name w:val="Body Text Indent 3"/>
    <w:basedOn w:val="1"/>
    <w:link w:val="254"/>
    <w:qFormat/>
    <w:uiPriority w:val="0"/>
    <w:pPr>
      <w:spacing w:line="360" w:lineRule="auto"/>
      <w:ind w:firstLine="617"/>
    </w:pPr>
    <w:rPr>
      <w:sz w:val="24"/>
      <w:szCs w:val="24"/>
    </w:rPr>
  </w:style>
  <w:style w:type="paragraph" w:styleId="48">
    <w:name w:val="index 7"/>
    <w:basedOn w:val="1"/>
    <w:next w:val="1"/>
    <w:qFormat/>
    <w:uiPriority w:val="0"/>
    <w:pPr>
      <w:ind w:left="2520"/>
    </w:pPr>
    <w:rPr>
      <w:rFonts w:eastAsia="楷体_GB2312"/>
      <w:sz w:val="26"/>
      <w:szCs w:val="20"/>
    </w:rPr>
  </w:style>
  <w:style w:type="paragraph" w:styleId="49">
    <w:name w:val="index 9"/>
    <w:basedOn w:val="1"/>
    <w:next w:val="1"/>
    <w:qFormat/>
    <w:uiPriority w:val="0"/>
    <w:pPr>
      <w:ind w:left="3360"/>
    </w:pPr>
    <w:rPr>
      <w:rFonts w:eastAsia="楷体_GB2312"/>
      <w:sz w:val="26"/>
      <w:szCs w:val="20"/>
    </w:rPr>
  </w:style>
  <w:style w:type="paragraph" w:styleId="50">
    <w:name w:val="table of figures"/>
    <w:basedOn w:val="1"/>
    <w:next w:val="1"/>
    <w:qFormat/>
    <w:uiPriority w:val="0"/>
    <w:pPr>
      <w:ind w:left="420" w:hanging="420"/>
      <w:jc w:val="left"/>
    </w:pPr>
    <w:rPr>
      <w:rFonts w:eastAsia="楷体_GB2312"/>
      <w:smallCaps/>
      <w:sz w:val="24"/>
      <w:szCs w:val="20"/>
    </w:rPr>
  </w:style>
  <w:style w:type="paragraph" w:styleId="51">
    <w:name w:val="toc 2"/>
    <w:basedOn w:val="1"/>
    <w:next w:val="1"/>
    <w:unhideWhenUsed/>
    <w:qFormat/>
    <w:uiPriority w:val="39"/>
    <w:pPr>
      <w:spacing w:after="57"/>
      <w:ind w:left="283"/>
    </w:pPr>
  </w:style>
  <w:style w:type="paragraph" w:styleId="52">
    <w:name w:val="toc 9"/>
    <w:basedOn w:val="1"/>
    <w:next w:val="1"/>
    <w:unhideWhenUsed/>
    <w:qFormat/>
    <w:uiPriority w:val="39"/>
    <w:pPr>
      <w:spacing w:after="57"/>
      <w:ind w:left="2268"/>
    </w:pPr>
  </w:style>
  <w:style w:type="paragraph" w:styleId="53">
    <w:name w:val="HTML Preformatted"/>
    <w:basedOn w:val="1"/>
    <w:link w:val="4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楷体_GB2312"/>
      <w:sz w:val="20"/>
      <w:szCs w:val="20"/>
    </w:rPr>
  </w:style>
  <w:style w:type="paragraph" w:styleId="54">
    <w:name w:val="Normal (Web)"/>
    <w:basedOn w:val="1"/>
    <w:link w:val="258"/>
    <w:unhideWhenUsed/>
    <w:qFormat/>
    <w:uiPriority w:val="0"/>
    <w:pPr>
      <w:spacing w:before="100" w:beforeAutospacing="1" w:after="100" w:afterAutospacing="1"/>
      <w:jc w:val="left"/>
    </w:pPr>
    <w:rPr>
      <w:sz w:val="24"/>
      <w:szCs w:val="20"/>
      <w:lang w:eastAsia="en-US"/>
    </w:rPr>
  </w:style>
  <w:style w:type="paragraph" w:styleId="55">
    <w:name w:val="index 2"/>
    <w:basedOn w:val="1"/>
    <w:next w:val="1"/>
    <w:qFormat/>
    <w:uiPriority w:val="0"/>
    <w:pPr>
      <w:ind w:left="420"/>
    </w:pPr>
    <w:rPr>
      <w:rFonts w:eastAsia="楷体_GB2312"/>
      <w:sz w:val="26"/>
      <w:szCs w:val="20"/>
    </w:rPr>
  </w:style>
  <w:style w:type="paragraph" w:styleId="56">
    <w:name w:val="Title"/>
    <w:basedOn w:val="1"/>
    <w:next w:val="1"/>
    <w:link w:val="86"/>
    <w:qFormat/>
    <w:uiPriority w:val="10"/>
    <w:pPr>
      <w:spacing w:before="300" w:after="200"/>
      <w:contextualSpacing/>
    </w:pPr>
    <w:rPr>
      <w:sz w:val="48"/>
      <w:szCs w:val="48"/>
    </w:rPr>
  </w:style>
  <w:style w:type="paragraph" w:styleId="57">
    <w:name w:val="annotation subject"/>
    <w:basedOn w:val="18"/>
    <w:next w:val="18"/>
    <w:link w:val="259"/>
    <w:unhideWhenUsed/>
    <w:qFormat/>
    <w:uiPriority w:val="0"/>
    <w:rPr>
      <w:b/>
      <w:bCs/>
    </w:rPr>
  </w:style>
  <w:style w:type="paragraph" w:styleId="58">
    <w:name w:val="Body Text First Indent"/>
    <w:basedOn w:val="20"/>
    <w:qFormat/>
    <w:uiPriority w:val="0"/>
    <w:pPr>
      <w:ind w:firstLine="420" w:firstLineChars="100"/>
    </w:pPr>
  </w:style>
  <w:style w:type="table" w:styleId="60">
    <w:name w:val="Table Grid"/>
    <w:basedOn w:val="5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endnote reference"/>
    <w:semiHidden/>
    <w:unhideWhenUsed/>
    <w:qFormat/>
    <w:uiPriority w:val="99"/>
    <w:rPr>
      <w:vertAlign w:val="superscript"/>
    </w:rPr>
  </w:style>
  <w:style w:type="character" w:styleId="64">
    <w:name w:val="page number"/>
    <w:qFormat/>
    <w:uiPriority w:val="0"/>
  </w:style>
  <w:style w:type="character" w:styleId="65">
    <w:name w:val="Emphasis"/>
    <w:qFormat/>
    <w:uiPriority w:val="0"/>
    <w:rPr>
      <w:i/>
      <w:iCs/>
    </w:rPr>
  </w:style>
  <w:style w:type="character" w:styleId="66">
    <w:name w:val="line number"/>
    <w:qFormat/>
    <w:uiPriority w:val="0"/>
  </w:style>
  <w:style w:type="character" w:styleId="67">
    <w:name w:val="HTML Definition"/>
    <w:qFormat/>
    <w:uiPriority w:val="0"/>
    <w:rPr>
      <w:i/>
    </w:rPr>
  </w:style>
  <w:style w:type="character" w:styleId="68">
    <w:name w:val="Hyperlink"/>
    <w:unhideWhenUsed/>
    <w:qFormat/>
    <w:uiPriority w:val="99"/>
    <w:rPr>
      <w:color w:val="0000FF"/>
      <w:u w:val="single"/>
    </w:rPr>
  </w:style>
  <w:style w:type="character" w:styleId="69">
    <w:name w:val="HTML Code"/>
    <w:qFormat/>
    <w:uiPriority w:val="0"/>
    <w:rPr>
      <w:rFonts w:ascii="Menlo" w:hAnsi="Menlo" w:eastAsia="Menlo" w:cs="Menlo"/>
      <w:color w:val="C7254E"/>
      <w:sz w:val="21"/>
      <w:szCs w:val="21"/>
      <w:shd w:val="clear" w:color="auto" w:fill="F9F2F4"/>
    </w:rPr>
  </w:style>
  <w:style w:type="character" w:styleId="70">
    <w:name w:val="annotation reference"/>
    <w:unhideWhenUsed/>
    <w:qFormat/>
    <w:uiPriority w:val="0"/>
    <w:rPr>
      <w:sz w:val="21"/>
      <w:szCs w:val="21"/>
    </w:rPr>
  </w:style>
  <w:style w:type="character" w:styleId="71">
    <w:name w:val="HTML Cite"/>
    <w:qFormat/>
    <w:uiPriority w:val="0"/>
  </w:style>
  <w:style w:type="character" w:styleId="72">
    <w:name w:val="footnote reference"/>
    <w:qFormat/>
    <w:uiPriority w:val="0"/>
    <w:rPr>
      <w:vertAlign w:val="superscript"/>
    </w:rPr>
  </w:style>
  <w:style w:type="character" w:styleId="73">
    <w:name w:val="HTML Keyboard"/>
    <w:qFormat/>
    <w:uiPriority w:val="0"/>
    <w:rPr>
      <w:rFonts w:ascii="Menlo" w:hAnsi="Menlo" w:eastAsia="Menlo" w:cs="Menlo"/>
      <w:sz w:val="21"/>
      <w:szCs w:val="21"/>
    </w:rPr>
  </w:style>
  <w:style w:type="character" w:styleId="74">
    <w:name w:val="HTML Sample"/>
    <w:qFormat/>
    <w:uiPriority w:val="0"/>
    <w:rPr>
      <w:rFonts w:ascii="Menlo" w:hAnsi="Menlo" w:eastAsia="Menlo" w:cs="Menlo"/>
      <w:sz w:val="21"/>
      <w:szCs w:val="21"/>
    </w:rPr>
  </w:style>
  <w:style w:type="character" w:customStyle="1" w:styleId="75">
    <w:name w:val="Heading 1 Char"/>
    <w:qFormat/>
    <w:uiPriority w:val="9"/>
    <w:rPr>
      <w:rFonts w:ascii="Arial" w:hAnsi="Arial" w:eastAsia="Arial" w:cs="Arial"/>
      <w:sz w:val="40"/>
      <w:szCs w:val="40"/>
    </w:rPr>
  </w:style>
  <w:style w:type="character" w:customStyle="1" w:styleId="76">
    <w:name w:val="Heading 2 Char"/>
    <w:qFormat/>
    <w:uiPriority w:val="9"/>
    <w:rPr>
      <w:rFonts w:ascii="Arial" w:hAnsi="Arial" w:eastAsia="Arial" w:cs="Arial"/>
      <w:sz w:val="34"/>
    </w:rPr>
  </w:style>
  <w:style w:type="character" w:customStyle="1" w:styleId="77">
    <w:name w:val="Heading 3 Char"/>
    <w:qFormat/>
    <w:uiPriority w:val="9"/>
    <w:rPr>
      <w:rFonts w:ascii="Arial" w:hAnsi="Arial" w:eastAsia="Arial" w:cs="Arial"/>
      <w:sz w:val="30"/>
      <w:szCs w:val="30"/>
    </w:rPr>
  </w:style>
  <w:style w:type="character" w:customStyle="1" w:styleId="78">
    <w:name w:val="Heading 4 Char"/>
    <w:qFormat/>
    <w:uiPriority w:val="9"/>
    <w:rPr>
      <w:rFonts w:ascii="Arial" w:hAnsi="Arial" w:eastAsia="Arial" w:cs="Arial"/>
      <w:b/>
      <w:bCs/>
      <w:sz w:val="26"/>
      <w:szCs w:val="26"/>
    </w:rPr>
  </w:style>
  <w:style w:type="character" w:customStyle="1" w:styleId="79">
    <w:name w:val="Heading 5 Char"/>
    <w:qFormat/>
    <w:uiPriority w:val="9"/>
    <w:rPr>
      <w:rFonts w:ascii="Arial" w:hAnsi="Arial" w:eastAsia="Arial" w:cs="Arial"/>
      <w:b/>
      <w:bCs/>
      <w:sz w:val="24"/>
      <w:szCs w:val="24"/>
    </w:rPr>
  </w:style>
  <w:style w:type="character" w:customStyle="1" w:styleId="80">
    <w:name w:val="Heading 6 Char"/>
    <w:qFormat/>
    <w:uiPriority w:val="9"/>
    <w:rPr>
      <w:rFonts w:ascii="Arial" w:hAnsi="Arial" w:eastAsia="Arial" w:cs="Arial"/>
      <w:b/>
      <w:bCs/>
      <w:sz w:val="22"/>
      <w:szCs w:val="22"/>
    </w:rPr>
  </w:style>
  <w:style w:type="character" w:customStyle="1" w:styleId="81">
    <w:name w:val="Heading 7 Char"/>
    <w:qFormat/>
    <w:uiPriority w:val="9"/>
    <w:rPr>
      <w:rFonts w:ascii="Arial" w:hAnsi="Arial" w:eastAsia="Arial" w:cs="Arial"/>
      <w:b/>
      <w:bCs/>
      <w:i/>
      <w:iCs/>
      <w:sz w:val="22"/>
      <w:szCs w:val="22"/>
    </w:rPr>
  </w:style>
  <w:style w:type="character" w:customStyle="1" w:styleId="82">
    <w:name w:val="Heading 8 Char"/>
    <w:qFormat/>
    <w:uiPriority w:val="9"/>
    <w:rPr>
      <w:rFonts w:ascii="Arial" w:hAnsi="Arial" w:eastAsia="Arial" w:cs="Arial"/>
      <w:i/>
      <w:iCs/>
      <w:sz w:val="22"/>
      <w:szCs w:val="22"/>
    </w:rPr>
  </w:style>
  <w:style w:type="character" w:customStyle="1" w:styleId="83">
    <w:name w:val="Heading 9 Char"/>
    <w:qFormat/>
    <w:uiPriority w:val="9"/>
    <w:rPr>
      <w:rFonts w:ascii="Arial" w:hAnsi="Arial" w:eastAsia="Arial" w:cs="Arial"/>
      <w:i/>
      <w:iCs/>
      <w:sz w:val="21"/>
      <w:szCs w:val="21"/>
    </w:rPr>
  </w:style>
  <w:style w:type="paragraph" w:styleId="84">
    <w:name w:val="List Paragraph"/>
    <w:basedOn w:val="1"/>
    <w:qFormat/>
    <w:uiPriority w:val="34"/>
    <w:pPr>
      <w:ind w:left="720"/>
      <w:contextualSpacing/>
    </w:pPr>
  </w:style>
  <w:style w:type="paragraph" w:styleId="85">
    <w:name w:val="No Spacing"/>
    <w:qFormat/>
    <w:uiPriority w:val="99"/>
    <w:pPr>
      <w:widowControl w:val="0"/>
      <w:jc w:val="both"/>
    </w:pPr>
    <w:rPr>
      <w:rFonts w:ascii="Calibri" w:hAnsi="Calibri" w:eastAsia="楷体_GB2312" w:cs="Times New Roman"/>
      <w:sz w:val="26"/>
      <w:lang w:val="en-US" w:eastAsia="zh-CN" w:bidi="ar-SA"/>
    </w:rPr>
  </w:style>
  <w:style w:type="character" w:customStyle="1" w:styleId="86">
    <w:name w:val="标题 字符"/>
    <w:link w:val="56"/>
    <w:qFormat/>
    <w:uiPriority w:val="10"/>
    <w:rPr>
      <w:sz w:val="48"/>
      <w:szCs w:val="48"/>
    </w:rPr>
  </w:style>
  <w:style w:type="character" w:customStyle="1" w:styleId="87">
    <w:name w:val="副标题 字符"/>
    <w:link w:val="44"/>
    <w:qFormat/>
    <w:uiPriority w:val="11"/>
    <w:rPr>
      <w:sz w:val="24"/>
      <w:szCs w:val="24"/>
    </w:rPr>
  </w:style>
  <w:style w:type="paragraph" w:styleId="88">
    <w:name w:val="Quote"/>
    <w:basedOn w:val="1"/>
    <w:next w:val="1"/>
    <w:link w:val="89"/>
    <w:qFormat/>
    <w:uiPriority w:val="29"/>
    <w:pPr>
      <w:ind w:left="720" w:right="720"/>
    </w:pPr>
    <w:rPr>
      <w:i/>
    </w:rPr>
  </w:style>
  <w:style w:type="character" w:customStyle="1" w:styleId="89">
    <w:name w:val="引用 字符"/>
    <w:link w:val="88"/>
    <w:qFormat/>
    <w:uiPriority w:val="29"/>
    <w:rPr>
      <w:i/>
    </w:rPr>
  </w:style>
  <w:style w:type="paragraph" w:styleId="90">
    <w:name w:val="Intense Quote"/>
    <w:basedOn w:val="1"/>
    <w:next w:val="1"/>
    <w:link w:val="9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91">
    <w:name w:val="明显引用 字符"/>
    <w:link w:val="90"/>
    <w:qFormat/>
    <w:uiPriority w:val="30"/>
    <w:rPr>
      <w:i/>
    </w:rPr>
  </w:style>
  <w:style w:type="character" w:customStyle="1" w:styleId="92">
    <w:name w:val="Footer Char"/>
    <w:qFormat/>
    <w:uiPriority w:val="99"/>
  </w:style>
  <w:style w:type="character" w:customStyle="1" w:styleId="93">
    <w:name w:val="Caption Char"/>
    <w:qFormat/>
    <w:uiPriority w:val="99"/>
  </w:style>
  <w:style w:type="table" w:customStyle="1" w:styleId="94">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5">
    <w:name w:val="无格式表格 1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96">
    <w:name w:val="无格式表格 21"/>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97">
    <w:name w:val="无格式表格 31"/>
    <w:qFormat/>
    <w:uiPriority w:val="99"/>
    <w:tblPr>
      <w:tblCellMar>
        <w:top w:w="0" w:type="dxa"/>
        <w:left w:w="0" w:type="dxa"/>
        <w:bottom w:w="0" w:type="dxa"/>
        <w:right w:w="0" w:type="dxa"/>
      </w:tblCellMar>
    </w:tblPr>
  </w:style>
  <w:style w:type="table" w:customStyle="1" w:styleId="98">
    <w:name w:val="无格式表格 41"/>
    <w:qFormat/>
    <w:uiPriority w:val="99"/>
    <w:tblPr>
      <w:tblCellMar>
        <w:top w:w="0" w:type="dxa"/>
        <w:left w:w="0" w:type="dxa"/>
        <w:bottom w:w="0" w:type="dxa"/>
        <w:right w:w="0" w:type="dxa"/>
      </w:tblCellMar>
    </w:tblPr>
  </w:style>
  <w:style w:type="table" w:customStyle="1" w:styleId="99">
    <w:name w:val="无格式表格 51"/>
    <w:qFormat/>
    <w:uiPriority w:val="99"/>
    <w:tblPr>
      <w:tblCellMar>
        <w:top w:w="0" w:type="dxa"/>
        <w:left w:w="0" w:type="dxa"/>
        <w:bottom w:w="0" w:type="dxa"/>
        <w:right w:w="0" w:type="dxa"/>
      </w:tblCellMar>
    </w:tblPr>
  </w:style>
  <w:style w:type="table" w:customStyle="1" w:styleId="100">
    <w:name w:val="网格表 1 浅色1"/>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101">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02">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03">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04">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05">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06">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07">
    <w:name w:val="网格表 2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8">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9">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0">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1">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2">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13">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14">
    <w:name w:val="网格表 31"/>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15">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16">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17">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18">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19">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0">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1">
    <w:name w:val="网格表 41"/>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22">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23">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24">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25">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26">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27">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28">
    <w:name w:val="网格表 5 深色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9">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0">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1">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2">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3">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4">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35">
    <w:name w:val="网格表 6 彩色1"/>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6">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7">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8">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9">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0">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1">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2">
    <w:name w:val="网格表 7 彩色1"/>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43">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44">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5">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6">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7">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48">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49">
    <w:name w:val="清单表 1 浅色1"/>
    <w:qFormat/>
    <w:uiPriority w:val="99"/>
    <w:tblPr>
      <w:tblCellMar>
        <w:top w:w="0" w:type="dxa"/>
        <w:left w:w="0" w:type="dxa"/>
        <w:bottom w:w="0" w:type="dxa"/>
        <w:right w:w="0" w:type="dxa"/>
      </w:tblCellMar>
    </w:tblPr>
  </w:style>
  <w:style w:type="table" w:customStyle="1" w:styleId="150">
    <w:name w:val="List Table 1 Light - Accent 1"/>
    <w:qFormat/>
    <w:uiPriority w:val="99"/>
    <w:tblPr>
      <w:tblCellMar>
        <w:top w:w="0" w:type="dxa"/>
        <w:left w:w="0" w:type="dxa"/>
        <w:bottom w:w="0" w:type="dxa"/>
        <w:right w:w="0" w:type="dxa"/>
      </w:tblCellMar>
    </w:tblPr>
  </w:style>
  <w:style w:type="table" w:customStyle="1" w:styleId="151">
    <w:name w:val="List Table 1 Light - Accent 2"/>
    <w:qFormat/>
    <w:uiPriority w:val="99"/>
    <w:tblPr>
      <w:tblCellMar>
        <w:top w:w="0" w:type="dxa"/>
        <w:left w:w="0" w:type="dxa"/>
        <w:bottom w:w="0" w:type="dxa"/>
        <w:right w:w="0" w:type="dxa"/>
      </w:tblCellMar>
    </w:tblPr>
  </w:style>
  <w:style w:type="table" w:customStyle="1" w:styleId="152">
    <w:name w:val="List Table 1 Light - Accent 3"/>
    <w:qFormat/>
    <w:uiPriority w:val="99"/>
    <w:tblPr>
      <w:tblCellMar>
        <w:top w:w="0" w:type="dxa"/>
        <w:left w:w="0" w:type="dxa"/>
        <w:bottom w:w="0" w:type="dxa"/>
        <w:right w:w="0" w:type="dxa"/>
      </w:tblCellMar>
    </w:tblPr>
  </w:style>
  <w:style w:type="table" w:customStyle="1" w:styleId="153">
    <w:name w:val="List Table 1 Light - Accent 4"/>
    <w:qFormat/>
    <w:uiPriority w:val="99"/>
    <w:tblPr>
      <w:tblCellMar>
        <w:top w:w="0" w:type="dxa"/>
        <w:left w:w="0" w:type="dxa"/>
        <w:bottom w:w="0" w:type="dxa"/>
        <w:right w:w="0" w:type="dxa"/>
      </w:tblCellMar>
    </w:tblPr>
  </w:style>
  <w:style w:type="table" w:customStyle="1" w:styleId="154">
    <w:name w:val="List Table 1 Light - Accent 5"/>
    <w:qFormat/>
    <w:uiPriority w:val="99"/>
    <w:tblPr>
      <w:tblCellMar>
        <w:top w:w="0" w:type="dxa"/>
        <w:left w:w="0" w:type="dxa"/>
        <w:bottom w:w="0" w:type="dxa"/>
        <w:right w:w="0" w:type="dxa"/>
      </w:tblCellMar>
    </w:tblPr>
  </w:style>
  <w:style w:type="table" w:customStyle="1" w:styleId="155">
    <w:name w:val="List Table 1 Light - Accent 6"/>
    <w:qFormat/>
    <w:uiPriority w:val="99"/>
    <w:tblPr>
      <w:tblCellMar>
        <w:top w:w="0" w:type="dxa"/>
        <w:left w:w="0" w:type="dxa"/>
        <w:bottom w:w="0" w:type="dxa"/>
        <w:right w:w="0" w:type="dxa"/>
      </w:tblCellMar>
    </w:tblPr>
  </w:style>
  <w:style w:type="table" w:customStyle="1" w:styleId="156">
    <w:name w:val="清单表 21"/>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57">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58">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59">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60">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61">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62">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63">
    <w:name w:val="清单表 31"/>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64">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65">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66">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67">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68">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69">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70">
    <w:name w:val="清单表 41"/>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71">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72">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73">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74">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75">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76">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77">
    <w:name w:val="清单表 5 深色1"/>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78">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79">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80">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81">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82">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83">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84">
    <w:name w:val="清单表 6 彩色1"/>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85">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86">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87">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88">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89">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90">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91">
    <w:name w:val="清单表 7 彩色1"/>
    <w:qFormat/>
    <w:uiPriority w:val="99"/>
    <w:tblPr>
      <w:tblBorders>
        <w:right w:val="single" w:color="7F7F7F" w:sz="4" w:space="0"/>
      </w:tblBorders>
      <w:tblCellMar>
        <w:top w:w="0" w:type="dxa"/>
        <w:left w:w="0" w:type="dxa"/>
        <w:bottom w:w="0" w:type="dxa"/>
        <w:right w:w="0" w:type="dxa"/>
      </w:tblCellMar>
    </w:tblPr>
  </w:style>
  <w:style w:type="table" w:customStyle="1" w:styleId="192">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93">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94">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95">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96">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97">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98">
    <w:name w:val="Lined - Accent"/>
    <w:qFormat/>
    <w:uiPriority w:val="99"/>
    <w:rPr>
      <w:color w:val="404040"/>
    </w:rPr>
    <w:tblPr>
      <w:tblCellMar>
        <w:top w:w="0" w:type="dxa"/>
        <w:left w:w="0" w:type="dxa"/>
        <w:bottom w:w="0" w:type="dxa"/>
        <w:right w:w="0" w:type="dxa"/>
      </w:tblCellMar>
    </w:tblPr>
  </w:style>
  <w:style w:type="table" w:customStyle="1" w:styleId="199">
    <w:name w:val="Lined - Accent 1"/>
    <w:qFormat/>
    <w:uiPriority w:val="99"/>
    <w:rPr>
      <w:color w:val="404040"/>
    </w:rPr>
    <w:tblPr>
      <w:tblCellMar>
        <w:top w:w="0" w:type="dxa"/>
        <w:left w:w="0" w:type="dxa"/>
        <w:bottom w:w="0" w:type="dxa"/>
        <w:right w:w="0" w:type="dxa"/>
      </w:tblCellMar>
    </w:tblPr>
  </w:style>
  <w:style w:type="table" w:customStyle="1" w:styleId="200">
    <w:name w:val="Lined - Accent 2"/>
    <w:qFormat/>
    <w:uiPriority w:val="99"/>
    <w:rPr>
      <w:color w:val="404040"/>
    </w:rPr>
    <w:tblPr>
      <w:tblCellMar>
        <w:top w:w="0" w:type="dxa"/>
        <w:left w:w="0" w:type="dxa"/>
        <w:bottom w:w="0" w:type="dxa"/>
        <w:right w:w="0" w:type="dxa"/>
      </w:tblCellMar>
    </w:tblPr>
  </w:style>
  <w:style w:type="table" w:customStyle="1" w:styleId="201">
    <w:name w:val="Lined - Accent 3"/>
    <w:qFormat/>
    <w:uiPriority w:val="99"/>
    <w:rPr>
      <w:color w:val="404040"/>
    </w:rPr>
    <w:tblPr>
      <w:tblCellMar>
        <w:top w:w="0" w:type="dxa"/>
        <w:left w:w="0" w:type="dxa"/>
        <w:bottom w:w="0" w:type="dxa"/>
        <w:right w:w="0" w:type="dxa"/>
      </w:tblCellMar>
    </w:tblPr>
  </w:style>
  <w:style w:type="table" w:customStyle="1" w:styleId="202">
    <w:name w:val="Lined - Accent 4"/>
    <w:qFormat/>
    <w:uiPriority w:val="99"/>
    <w:rPr>
      <w:color w:val="404040"/>
    </w:rPr>
    <w:tblPr>
      <w:tblCellMar>
        <w:top w:w="0" w:type="dxa"/>
        <w:left w:w="0" w:type="dxa"/>
        <w:bottom w:w="0" w:type="dxa"/>
        <w:right w:w="0" w:type="dxa"/>
      </w:tblCellMar>
    </w:tblPr>
  </w:style>
  <w:style w:type="table" w:customStyle="1" w:styleId="203">
    <w:name w:val="Lined - Accent 5"/>
    <w:qFormat/>
    <w:uiPriority w:val="99"/>
    <w:rPr>
      <w:color w:val="404040"/>
    </w:rPr>
    <w:tblPr>
      <w:tblCellMar>
        <w:top w:w="0" w:type="dxa"/>
        <w:left w:w="0" w:type="dxa"/>
        <w:bottom w:w="0" w:type="dxa"/>
        <w:right w:w="0" w:type="dxa"/>
      </w:tblCellMar>
    </w:tblPr>
  </w:style>
  <w:style w:type="table" w:customStyle="1" w:styleId="204">
    <w:name w:val="Lined - Accent 6"/>
    <w:qFormat/>
    <w:uiPriority w:val="99"/>
    <w:rPr>
      <w:color w:val="404040"/>
    </w:rPr>
    <w:tblPr>
      <w:tblCellMar>
        <w:top w:w="0" w:type="dxa"/>
        <w:left w:w="0" w:type="dxa"/>
        <w:bottom w:w="0" w:type="dxa"/>
        <w:right w:w="0" w:type="dxa"/>
      </w:tblCellMar>
    </w:tblPr>
  </w:style>
  <w:style w:type="table" w:customStyle="1" w:styleId="205">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06">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07">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08">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09">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10">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11">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12">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13">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14">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15">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16">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17">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18">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19">
    <w:name w:val="Footnote Text Char"/>
    <w:qFormat/>
    <w:uiPriority w:val="99"/>
    <w:rPr>
      <w:sz w:val="18"/>
    </w:rPr>
  </w:style>
  <w:style w:type="character" w:customStyle="1" w:styleId="220">
    <w:name w:val="尾注文本 字符"/>
    <w:link w:val="34"/>
    <w:qFormat/>
    <w:uiPriority w:val="99"/>
    <w:rPr>
      <w:sz w:val="20"/>
    </w:rPr>
  </w:style>
  <w:style w:type="paragraph" w:customStyle="1" w:styleId="221">
    <w:name w:val="TOC 标题1"/>
    <w:unhideWhenUsed/>
    <w:qFormat/>
    <w:uiPriority w:val="39"/>
    <w:rPr>
      <w:rFonts w:ascii="Times New Roman" w:hAnsi="Times New Roman" w:eastAsia="宋体" w:cs="Times New Roman"/>
      <w:lang w:val="en-US" w:eastAsia="zh-CN" w:bidi="ar-SA"/>
    </w:rPr>
  </w:style>
  <w:style w:type="paragraph" w:customStyle="1" w:styleId="222">
    <w:name w:val="正文首行缩进 21"/>
    <w:basedOn w:val="22"/>
    <w:next w:val="1"/>
    <w:link w:val="224"/>
    <w:unhideWhenUsed/>
    <w:qFormat/>
    <w:uiPriority w:val="0"/>
    <w:pPr>
      <w:ind w:firstLine="420"/>
    </w:pPr>
  </w:style>
  <w:style w:type="character" w:customStyle="1" w:styleId="223">
    <w:name w:val="正文文本缩进 字符"/>
    <w:link w:val="22"/>
    <w:qFormat/>
    <w:uiPriority w:val="0"/>
    <w:rPr>
      <w:sz w:val="21"/>
      <w:szCs w:val="22"/>
    </w:rPr>
  </w:style>
  <w:style w:type="character" w:customStyle="1" w:styleId="224">
    <w:name w:val="正文首行缩进 2 Char"/>
    <w:link w:val="222"/>
    <w:qFormat/>
    <w:uiPriority w:val="0"/>
    <w:rPr>
      <w:sz w:val="21"/>
      <w:szCs w:val="22"/>
    </w:rPr>
  </w:style>
  <w:style w:type="character" w:customStyle="1" w:styleId="225">
    <w:name w:val="标题 1 字符"/>
    <w:link w:val="2"/>
    <w:qFormat/>
    <w:uiPriority w:val="0"/>
    <w:rPr>
      <w:rFonts w:ascii="Calibri" w:hAnsi="Calibri" w:eastAsia="楷体_GB2312" w:cs="Times New Roman"/>
      <w:b/>
      <w:sz w:val="44"/>
      <w:szCs w:val="20"/>
    </w:rPr>
  </w:style>
  <w:style w:type="character" w:customStyle="1" w:styleId="226">
    <w:name w:val="标题 2 字符"/>
    <w:link w:val="3"/>
    <w:qFormat/>
    <w:uiPriority w:val="0"/>
    <w:rPr>
      <w:rFonts w:ascii="Cambria" w:hAnsi="Cambria" w:eastAsia="宋体" w:cs="Times New Roman"/>
      <w:b/>
      <w:bCs/>
      <w:sz w:val="32"/>
      <w:szCs w:val="32"/>
    </w:rPr>
  </w:style>
  <w:style w:type="character" w:customStyle="1" w:styleId="227">
    <w:name w:val="标题 3 字符"/>
    <w:link w:val="4"/>
    <w:qFormat/>
    <w:uiPriority w:val="99"/>
    <w:rPr>
      <w:rFonts w:ascii="宋体" w:hAnsi="宋体" w:eastAsia="宋体" w:cs="宋体"/>
      <w:b/>
      <w:bCs/>
      <w:sz w:val="27"/>
      <w:szCs w:val="27"/>
    </w:rPr>
  </w:style>
  <w:style w:type="character" w:customStyle="1" w:styleId="228">
    <w:name w:val="标题 4 字符"/>
    <w:link w:val="5"/>
    <w:qFormat/>
    <w:uiPriority w:val="0"/>
    <w:rPr>
      <w:rFonts w:ascii="Arial" w:hAnsi="Arial" w:eastAsia="黑体"/>
      <w:b/>
      <w:bCs/>
      <w:sz w:val="28"/>
      <w:szCs w:val="28"/>
    </w:rPr>
  </w:style>
  <w:style w:type="character" w:customStyle="1" w:styleId="229">
    <w:name w:val="标题 5 字符"/>
    <w:link w:val="6"/>
    <w:qFormat/>
    <w:uiPriority w:val="0"/>
    <w:rPr>
      <w:rFonts w:ascii="宋体" w:hAnsi="Calibri" w:eastAsia="宋体" w:cs="Times New Roman"/>
      <w:b/>
      <w:spacing w:val="-2"/>
      <w:position w:val="-6"/>
      <w:sz w:val="28"/>
    </w:rPr>
  </w:style>
  <w:style w:type="character" w:customStyle="1" w:styleId="230">
    <w:name w:val="正文缩进 字符"/>
    <w:link w:val="7"/>
    <w:qFormat/>
    <w:uiPriority w:val="0"/>
    <w:rPr>
      <w:rFonts w:ascii="Calibri" w:hAnsi="Calibri" w:eastAsia="楷体_GB2312" w:cs="Times New Roman"/>
      <w:sz w:val="24"/>
      <w:szCs w:val="20"/>
    </w:rPr>
  </w:style>
  <w:style w:type="character" w:customStyle="1" w:styleId="231">
    <w:name w:val="标题 6 字符"/>
    <w:link w:val="8"/>
    <w:qFormat/>
    <w:uiPriority w:val="0"/>
    <w:rPr>
      <w:rFonts w:ascii="Arial" w:hAnsi="Arial" w:eastAsia="黑体" w:cs="Times New Roman"/>
      <w:b/>
      <w:spacing w:val="-2"/>
      <w:position w:val="-6"/>
      <w:sz w:val="24"/>
    </w:rPr>
  </w:style>
  <w:style w:type="character" w:customStyle="1" w:styleId="232">
    <w:name w:val="标题 7 字符"/>
    <w:link w:val="9"/>
    <w:qFormat/>
    <w:uiPriority w:val="0"/>
    <w:rPr>
      <w:rFonts w:ascii="宋体" w:hAnsi="Calibri" w:eastAsia="宋体" w:cs="Times New Roman"/>
      <w:b/>
      <w:spacing w:val="-2"/>
      <w:position w:val="-6"/>
      <w:sz w:val="24"/>
    </w:rPr>
  </w:style>
  <w:style w:type="character" w:customStyle="1" w:styleId="233">
    <w:name w:val="标题 8 字符"/>
    <w:link w:val="10"/>
    <w:qFormat/>
    <w:uiPriority w:val="0"/>
    <w:rPr>
      <w:rFonts w:ascii="Arial" w:hAnsi="Arial" w:eastAsia="黑体" w:cs="Times New Roman"/>
      <w:spacing w:val="-2"/>
      <w:position w:val="-6"/>
      <w:sz w:val="24"/>
    </w:rPr>
  </w:style>
  <w:style w:type="character" w:customStyle="1" w:styleId="234">
    <w:name w:val="标题 9 字符"/>
    <w:link w:val="11"/>
    <w:qFormat/>
    <w:uiPriority w:val="0"/>
    <w:rPr>
      <w:rFonts w:ascii="Arial" w:hAnsi="Arial" w:eastAsia="黑体" w:cs="Times New Roman"/>
      <w:spacing w:val="-2"/>
      <w:position w:val="-6"/>
      <w:sz w:val="28"/>
    </w:rPr>
  </w:style>
  <w:style w:type="paragraph" w:customStyle="1" w:styleId="235">
    <w:name w:val="目录 71"/>
    <w:basedOn w:val="1"/>
    <w:next w:val="1"/>
    <w:qFormat/>
    <w:uiPriority w:val="0"/>
    <w:pPr>
      <w:ind w:left="2520"/>
    </w:pPr>
    <w:rPr>
      <w:rFonts w:eastAsia="楷体_GB2312"/>
      <w:sz w:val="26"/>
      <w:szCs w:val="20"/>
    </w:rPr>
  </w:style>
  <w:style w:type="character" w:customStyle="1" w:styleId="236">
    <w:name w:val="文档结构图 字符"/>
    <w:link w:val="17"/>
    <w:qFormat/>
    <w:uiPriority w:val="0"/>
    <w:rPr>
      <w:rFonts w:ascii="宋体" w:eastAsia="宋体"/>
      <w:sz w:val="18"/>
      <w:szCs w:val="18"/>
    </w:rPr>
  </w:style>
  <w:style w:type="character" w:customStyle="1" w:styleId="237">
    <w:name w:val="批注文字 字符"/>
    <w:link w:val="18"/>
    <w:qFormat/>
    <w:uiPriority w:val="0"/>
    <w:rPr>
      <w:sz w:val="21"/>
      <w:szCs w:val="22"/>
    </w:rPr>
  </w:style>
  <w:style w:type="character" w:customStyle="1" w:styleId="238">
    <w:name w:val="正文文本 字符2"/>
    <w:link w:val="20"/>
    <w:qFormat/>
    <w:uiPriority w:val="0"/>
    <w:rPr>
      <w:rFonts w:ascii="Times New Roman" w:hAnsi="Times New Roman" w:eastAsia="宋体" w:cs="Times New Roman"/>
      <w:sz w:val="21"/>
      <w:szCs w:val="22"/>
    </w:rPr>
  </w:style>
  <w:style w:type="paragraph" w:customStyle="1" w:styleId="239">
    <w:name w:val="目录 51"/>
    <w:basedOn w:val="1"/>
    <w:next w:val="1"/>
    <w:qFormat/>
    <w:uiPriority w:val="0"/>
    <w:pPr>
      <w:ind w:left="1680"/>
    </w:pPr>
    <w:rPr>
      <w:rFonts w:eastAsia="楷体_GB2312"/>
      <w:sz w:val="26"/>
      <w:szCs w:val="20"/>
    </w:rPr>
  </w:style>
  <w:style w:type="paragraph" w:customStyle="1" w:styleId="240">
    <w:name w:val="目录 31"/>
    <w:basedOn w:val="1"/>
    <w:next w:val="1"/>
    <w:link w:val="241"/>
    <w:qFormat/>
    <w:uiPriority w:val="0"/>
    <w:pPr>
      <w:ind w:left="840"/>
    </w:pPr>
    <w:rPr>
      <w:szCs w:val="20"/>
      <w:lang w:eastAsia="en-US"/>
    </w:rPr>
  </w:style>
  <w:style w:type="character" w:customStyle="1" w:styleId="241">
    <w:name w:val="目录 3 Char"/>
    <w:link w:val="240"/>
    <w:qFormat/>
    <w:uiPriority w:val="0"/>
    <w:rPr>
      <w:rFonts w:ascii="Calibri" w:hAnsi="Calibri" w:eastAsia="宋体" w:cs="Times New Roman"/>
      <w:sz w:val="21"/>
    </w:rPr>
  </w:style>
  <w:style w:type="character" w:customStyle="1" w:styleId="242">
    <w:name w:val="纯文本 字符1"/>
    <w:link w:val="29"/>
    <w:qFormat/>
    <w:uiPriority w:val="0"/>
    <w:rPr>
      <w:rFonts w:ascii="宋体" w:hAnsi="Courier New" w:eastAsia="宋体" w:cs="Times New Roman"/>
      <w:sz w:val="21"/>
    </w:rPr>
  </w:style>
  <w:style w:type="paragraph" w:customStyle="1" w:styleId="243">
    <w:name w:val="目录 81"/>
    <w:basedOn w:val="1"/>
    <w:next w:val="1"/>
    <w:qFormat/>
    <w:uiPriority w:val="0"/>
    <w:pPr>
      <w:ind w:left="2940"/>
    </w:pPr>
    <w:rPr>
      <w:rFonts w:eastAsia="楷体_GB2312"/>
      <w:sz w:val="26"/>
      <w:szCs w:val="20"/>
    </w:rPr>
  </w:style>
  <w:style w:type="character" w:customStyle="1" w:styleId="244">
    <w:name w:val="日期 字符"/>
    <w:link w:val="32"/>
    <w:qFormat/>
    <w:uiPriority w:val="0"/>
    <w:rPr>
      <w:rFonts w:ascii="宋体" w:hAnsi="宋体" w:eastAsia="楷体_GB2312" w:cs="Times New Roman"/>
      <w:sz w:val="24"/>
    </w:rPr>
  </w:style>
  <w:style w:type="character" w:customStyle="1" w:styleId="245">
    <w:name w:val="正文文本缩进 2 字符"/>
    <w:link w:val="33"/>
    <w:qFormat/>
    <w:uiPriority w:val="0"/>
    <w:rPr>
      <w:rFonts w:ascii="宋体" w:hAnsi="Calibri" w:eastAsia="宋体" w:cs="Times New Roman"/>
      <w:b/>
      <w:bCs/>
      <w:sz w:val="24"/>
    </w:rPr>
  </w:style>
  <w:style w:type="character" w:customStyle="1" w:styleId="246">
    <w:name w:val="批注框文本 字符"/>
    <w:link w:val="35"/>
    <w:qFormat/>
    <w:uiPriority w:val="0"/>
    <w:rPr>
      <w:sz w:val="18"/>
      <w:szCs w:val="18"/>
    </w:rPr>
  </w:style>
  <w:style w:type="character" w:customStyle="1" w:styleId="247">
    <w:name w:val="页脚 字符"/>
    <w:link w:val="36"/>
    <w:qFormat/>
    <w:uiPriority w:val="99"/>
    <w:rPr>
      <w:sz w:val="18"/>
      <w:szCs w:val="18"/>
    </w:rPr>
  </w:style>
  <w:style w:type="character" w:customStyle="1" w:styleId="248">
    <w:name w:val="页眉 字符"/>
    <w:link w:val="38"/>
    <w:qFormat/>
    <w:uiPriority w:val="99"/>
    <w:rPr>
      <w:sz w:val="18"/>
      <w:szCs w:val="18"/>
    </w:rPr>
  </w:style>
  <w:style w:type="character" w:customStyle="1" w:styleId="249">
    <w:name w:val="签名 字符"/>
    <w:link w:val="39"/>
    <w:qFormat/>
    <w:uiPriority w:val="0"/>
    <w:rPr>
      <w:rFonts w:ascii="Calibri" w:hAnsi="Calibri" w:eastAsia="仿宋_GB2312" w:cs="Times New Roman"/>
      <w:sz w:val="24"/>
    </w:rPr>
  </w:style>
  <w:style w:type="paragraph" w:customStyle="1" w:styleId="250">
    <w:name w:val="目录 11"/>
    <w:basedOn w:val="1"/>
    <w:next w:val="1"/>
    <w:qFormat/>
    <w:uiPriority w:val="0"/>
    <w:pPr>
      <w:jc w:val="left"/>
    </w:pPr>
    <w:rPr>
      <w:rFonts w:eastAsia="楷体_GB2312"/>
      <w:sz w:val="24"/>
      <w:szCs w:val="20"/>
    </w:rPr>
  </w:style>
  <w:style w:type="paragraph" w:customStyle="1" w:styleId="251">
    <w:name w:val="目录 41"/>
    <w:basedOn w:val="1"/>
    <w:next w:val="1"/>
    <w:qFormat/>
    <w:uiPriority w:val="0"/>
    <w:pPr>
      <w:ind w:left="1260"/>
    </w:pPr>
    <w:rPr>
      <w:rFonts w:eastAsia="楷体_GB2312"/>
      <w:sz w:val="26"/>
      <w:szCs w:val="20"/>
    </w:rPr>
  </w:style>
  <w:style w:type="character" w:customStyle="1" w:styleId="252">
    <w:name w:val="脚注文本 字符"/>
    <w:link w:val="45"/>
    <w:qFormat/>
    <w:uiPriority w:val="0"/>
    <w:rPr>
      <w:rFonts w:ascii="Calibri" w:hAnsi="Calibri" w:eastAsia="楷体_GB2312" w:cs="Times New Roman"/>
      <w:sz w:val="18"/>
    </w:rPr>
  </w:style>
  <w:style w:type="paragraph" w:customStyle="1" w:styleId="253">
    <w:name w:val="目录 61"/>
    <w:basedOn w:val="1"/>
    <w:next w:val="1"/>
    <w:qFormat/>
    <w:uiPriority w:val="0"/>
    <w:pPr>
      <w:ind w:left="2100"/>
    </w:pPr>
    <w:rPr>
      <w:rFonts w:eastAsia="楷体_GB2312"/>
      <w:sz w:val="26"/>
      <w:szCs w:val="20"/>
    </w:rPr>
  </w:style>
  <w:style w:type="character" w:customStyle="1" w:styleId="254">
    <w:name w:val="正文文本缩进 3 字符"/>
    <w:link w:val="47"/>
    <w:qFormat/>
    <w:uiPriority w:val="0"/>
    <w:rPr>
      <w:rFonts w:ascii="Calibri" w:hAnsi="Calibri" w:eastAsia="宋体" w:cs="Times New Roman"/>
      <w:sz w:val="24"/>
      <w:szCs w:val="24"/>
    </w:rPr>
  </w:style>
  <w:style w:type="paragraph" w:customStyle="1" w:styleId="255">
    <w:name w:val="目录 21"/>
    <w:basedOn w:val="1"/>
    <w:next w:val="1"/>
    <w:qFormat/>
    <w:uiPriority w:val="0"/>
    <w:pPr>
      <w:ind w:left="420"/>
    </w:pPr>
    <w:rPr>
      <w:rFonts w:eastAsia="楷体_GB2312"/>
      <w:sz w:val="26"/>
      <w:szCs w:val="20"/>
    </w:rPr>
  </w:style>
  <w:style w:type="paragraph" w:customStyle="1" w:styleId="256">
    <w:name w:val="目录 91"/>
    <w:basedOn w:val="1"/>
    <w:next w:val="1"/>
    <w:qFormat/>
    <w:uiPriority w:val="0"/>
    <w:pPr>
      <w:ind w:left="3360"/>
    </w:pPr>
    <w:rPr>
      <w:rFonts w:eastAsia="楷体_GB2312"/>
      <w:sz w:val="26"/>
      <w:szCs w:val="20"/>
    </w:rPr>
  </w:style>
  <w:style w:type="character" w:customStyle="1" w:styleId="257">
    <w:name w:val="HTML 预设格式 字符"/>
    <w:qFormat/>
    <w:uiPriority w:val="0"/>
    <w:rPr>
      <w:rFonts w:ascii="黑体" w:hAnsi="Courier New" w:eastAsia="黑体" w:cs="楷体_GB2312"/>
    </w:rPr>
  </w:style>
  <w:style w:type="character" w:customStyle="1" w:styleId="258">
    <w:name w:val="普通(网站) 字符"/>
    <w:link w:val="54"/>
    <w:qFormat/>
    <w:uiPriority w:val="0"/>
    <w:rPr>
      <w:rFonts w:ascii="Calibri" w:hAnsi="Calibri" w:eastAsia="宋体" w:cs="Times New Roman"/>
      <w:sz w:val="24"/>
    </w:rPr>
  </w:style>
  <w:style w:type="character" w:customStyle="1" w:styleId="259">
    <w:name w:val="批注主题 字符"/>
    <w:link w:val="57"/>
    <w:semiHidden/>
    <w:qFormat/>
    <w:uiPriority w:val="99"/>
    <w:rPr>
      <w:b/>
      <w:bCs/>
      <w:sz w:val="21"/>
      <w:szCs w:val="22"/>
    </w:rPr>
  </w:style>
  <w:style w:type="paragraph" w:customStyle="1" w:styleId="260">
    <w:name w:val="正文首行缩进1"/>
    <w:basedOn w:val="20"/>
    <w:link w:val="261"/>
    <w:qFormat/>
    <w:uiPriority w:val="0"/>
    <w:pPr>
      <w:ind w:firstLine="420"/>
    </w:pPr>
    <w:rPr>
      <w:rFonts w:ascii="Calibri" w:hAnsi="Calibri" w:eastAsia="楷体_GB2312"/>
      <w:sz w:val="26"/>
      <w:szCs w:val="20"/>
    </w:rPr>
  </w:style>
  <w:style w:type="character" w:customStyle="1" w:styleId="261">
    <w:name w:val="正文首行缩进 Char"/>
    <w:link w:val="260"/>
    <w:qFormat/>
    <w:uiPriority w:val="0"/>
    <w:rPr>
      <w:rFonts w:ascii="Calibri" w:hAnsi="Calibri" w:eastAsia="楷体_GB2312" w:cs="Times New Roman"/>
      <w:sz w:val="26"/>
      <w:szCs w:val="22"/>
    </w:rPr>
  </w:style>
  <w:style w:type="character" w:customStyle="1" w:styleId="262">
    <w:name w:val="已访问的超链接1"/>
    <w:qFormat/>
    <w:uiPriority w:val="99"/>
    <w:rPr>
      <w:color w:val="333333"/>
      <w:u w:val="none"/>
    </w:rPr>
  </w:style>
  <w:style w:type="paragraph" w:customStyle="1" w:styleId="263">
    <w:name w:val="正文缩进1"/>
    <w:basedOn w:val="1"/>
    <w:qFormat/>
    <w:uiPriority w:val="0"/>
    <w:pPr>
      <w:widowControl/>
      <w:ind w:firstLine="420"/>
      <w:jc w:val="left"/>
    </w:pPr>
  </w:style>
  <w:style w:type="character" w:customStyle="1" w:styleId="264">
    <w:name w:val="NormalCharacter1"/>
    <w:qFormat/>
    <w:uiPriority w:val="0"/>
    <w:rPr>
      <w:rFonts w:ascii="Times New Roman" w:hAnsi="Times New Roman" w:eastAsia="宋体" w:cs="Times New Roman"/>
    </w:rPr>
  </w:style>
  <w:style w:type="paragraph" w:customStyle="1" w:styleId="265">
    <w:name w:val="列出段落1"/>
    <w:basedOn w:val="1"/>
    <w:qFormat/>
    <w:uiPriority w:val="0"/>
    <w:pPr>
      <w:ind w:firstLine="420"/>
    </w:pPr>
    <w:rPr>
      <w:rFonts w:ascii="Times New Roman" w:hAnsi="Times New Roman"/>
    </w:rPr>
  </w:style>
  <w:style w:type="table" w:customStyle="1" w:styleId="266">
    <w:name w:val="网格型1"/>
    <w:basedOn w:val="59"/>
    <w:qFormat/>
    <w:uiPriority w:val="0"/>
    <w:pPr>
      <w:widowControl w:val="0"/>
      <w:jc w:val="both"/>
    </w:pPr>
  </w:style>
  <w:style w:type="table" w:customStyle="1" w:styleId="267">
    <w:name w:val="网格型2"/>
    <w:basedOn w:val="59"/>
    <w:qFormat/>
    <w:uiPriority w:val="0"/>
    <w:pPr>
      <w:widowControl w:val="0"/>
      <w:jc w:val="both"/>
    </w:pPr>
  </w:style>
  <w:style w:type="character" w:customStyle="1" w:styleId="268">
    <w:name w:val="正文文本 Char"/>
    <w:qFormat/>
    <w:uiPriority w:val="0"/>
    <w:rPr>
      <w:rFonts w:ascii="楷体_GB2312" w:eastAsia="楷体_GB2312"/>
      <w:sz w:val="28"/>
    </w:rPr>
  </w:style>
  <w:style w:type="paragraph" w:customStyle="1" w:styleId="269">
    <w:name w:val="style4"/>
    <w:basedOn w:val="1"/>
    <w:next w:val="270"/>
    <w:qFormat/>
    <w:uiPriority w:val="99"/>
    <w:pPr>
      <w:widowControl/>
      <w:spacing w:before="280" w:after="280"/>
    </w:pPr>
    <w:rPr>
      <w:rFonts w:ascii="宋体" w:eastAsia="楷体_GB2312"/>
      <w:sz w:val="18"/>
      <w:szCs w:val="20"/>
    </w:rPr>
  </w:style>
  <w:style w:type="paragraph" w:customStyle="1" w:styleId="270">
    <w:name w:val="2"/>
    <w:next w:val="1"/>
    <w:qFormat/>
    <w:uiPriority w:val="99"/>
    <w:pPr>
      <w:widowControl w:val="0"/>
      <w:jc w:val="both"/>
    </w:pPr>
    <w:rPr>
      <w:rFonts w:ascii="Times New Roman" w:hAnsi="Times New Roman" w:eastAsia="宋体" w:cs="Times New Roman"/>
      <w:sz w:val="21"/>
      <w:szCs w:val="22"/>
      <w:lang w:val="en-US" w:eastAsia="zh-CN" w:bidi="ar-SA"/>
    </w:rPr>
  </w:style>
  <w:style w:type="table" w:customStyle="1" w:styleId="271">
    <w:name w:val="网格型3"/>
    <w:basedOn w:val="59"/>
    <w:qFormat/>
    <w:uiPriority w:val="0"/>
    <w:pPr>
      <w:widowControl w:val="0"/>
      <w:jc w:val="both"/>
    </w:pPr>
    <w:rPr>
      <w:rFonts w:ascii="Calibri" w:hAnsi="Calibri"/>
      <w:sz w:val="21"/>
      <w:szCs w:val="22"/>
    </w:rPr>
  </w:style>
  <w:style w:type="character" w:customStyle="1" w:styleId="272">
    <w:name w:val="正文文本首行缩进 字符"/>
    <w:qFormat/>
    <w:uiPriority w:val="0"/>
    <w:rPr>
      <w:rFonts w:eastAsia="楷体_GB2312"/>
      <w:sz w:val="26"/>
    </w:rPr>
  </w:style>
  <w:style w:type="character" w:customStyle="1" w:styleId="273">
    <w:name w:val="Char Char4"/>
    <w:qFormat/>
    <w:uiPriority w:val="0"/>
    <w:rPr>
      <w:rFonts w:ascii="方正仿宋简体" w:hAnsi="创艺简仿宋" w:eastAsia="方正仿宋简体"/>
      <w:sz w:val="24"/>
      <w:lang w:val="en-US" w:eastAsia="zh-CN" w:bidi="ar-SA"/>
    </w:rPr>
  </w:style>
  <w:style w:type="character" w:customStyle="1" w:styleId="274">
    <w:name w:val="state"/>
    <w:qFormat/>
    <w:uiPriority w:val="0"/>
    <w:rPr>
      <w:b/>
      <w:color w:val="FFFFFF"/>
      <w:sz w:val="19"/>
      <w:szCs w:val="19"/>
    </w:rPr>
  </w:style>
  <w:style w:type="character" w:customStyle="1" w:styleId="275">
    <w:name w:val="bds_more6"/>
    <w:qFormat/>
    <w:uiPriority w:val="0"/>
  </w:style>
  <w:style w:type="character" w:customStyle="1" w:styleId="276">
    <w:name w:val="hilite"/>
    <w:qFormat/>
    <w:uiPriority w:val="0"/>
    <w:rPr>
      <w:color w:val="FFFFFF"/>
      <w:shd w:val="clear" w:color="auto" w:fill="776666"/>
    </w:rPr>
  </w:style>
  <w:style w:type="character" w:customStyle="1" w:styleId="277">
    <w:name w:val="bds_nopic"/>
    <w:qFormat/>
    <w:uiPriority w:val="0"/>
  </w:style>
  <w:style w:type="character" w:customStyle="1" w:styleId="278">
    <w:name w:val="Char Char2"/>
    <w:qFormat/>
    <w:uiPriority w:val="0"/>
    <w:rPr>
      <w:rFonts w:ascii="宋体" w:hAnsi="宋体" w:eastAsia="楷体_GB2312"/>
      <w:b/>
      <w:sz w:val="26"/>
      <w:lang w:val="en-US" w:eastAsia="zh-CN" w:bidi="ar-SA"/>
    </w:rPr>
  </w:style>
  <w:style w:type="character" w:customStyle="1" w:styleId="279">
    <w:name w:val="hover61"/>
    <w:qFormat/>
    <w:uiPriority w:val="0"/>
    <w:rPr>
      <w:shd w:val="clear" w:color="auto" w:fill="FF0000"/>
    </w:rPr>
  </w:style>
  <w:style w:type="character" w:customStyle="1" w:styleId="280">
    <w:name w:val="font51"/>
    <w:qFormat/>
    <w:uiPriority w:val="99"/>
    <w:rPr>
      <w:rFonts w:hint="eastAsia" w:ascii="宋体" w:hAnsi="宋体" w:eastAsia="宋体" w:cs="宋体"/>
      <w:color w:val="FF0000"/>
      <w:sz w:val="20"/>
      <w:szCs w:val="20"/>
      <w:u w:val="none"/>
    </w:rPr>
  </w:style>
  <w:style w:type="character" w:customStyle="1" w:styleId="281">
    <w:name w:val="grid"/>
    <w:qFormat/>
    <w:uiPriority w:val="0"/>
  </w:style>
  <w:style w:type="character" w:customStyle="1" w:styleId="282">
    <w:name w:val="bds_more7"/>
    <w:qFormat/>
    <w:uiPriority w:val="0"/>
  </w:style>
  <w:style w:type="character" w:customStyle="1" w:styleId="283">
    <w:name w:val="bds_more8"/>
    <w:qFormat/>
    <w:uiPriority w:val="0"/>
    <w:rPr>
      <w:rFonts w:hint="eastAsia" w:ascii="宋体" w:hAnsi="宋体" w:eastAsia="宋体" w:cs="宋体"/>
    </w:rPr>
  </w:style>
  <w:style w:type="character" w:customStyle="1" w:styleId="284">
    <w:name w:val="bds_more4"/>
    <w:qFormat/>
    <w:uiPriority w:val="0"/>
    <w:rPr>
      <w:rFonts w:hint="eastAsia" w:ascii="宋体" w:hAnsi="宋体" w:eastAsia="宋体" w:cs="宋体"/>
    </w:rPr>
  </w:style>
  <w:style w:type="character" w:customStyle="1" w:styleId="285">
    <w:name w:val="bds_nopic1"/>
    <w:qFormat/>
    <w:uiPriority w:val="0"/>
  </w:style>
  <w:style w:type="character" w:customStyle="1" w:styleId="286">
    <w:name w:val="hilite6"/>
    <w:qFormat/>
    <w:uiPriority w:val="0"/>
    <w:rPr>
      <w:color w:val="FFFFFF"/>
      <w:shd w:val="clear" w:color="auto" w:fill="776666"/>
    </w:rPr>
  </w:style>
  <w:style w:type="character" w:customStyle="1" w:styleId="287">
    <w:name w:val="正文缩进2格 Char Char"/>
    <w:link w:val="288"/>
    <w:qFormat/>
    <w:uiPriority w:val="0"/>
    <w:rPr>
      <w:rFonts w:ascii="仿宋_GB2312" w:hAnsi="宋体" w:eastAsia="仿宋_GB2312"/>
      <w:sz w:val="31"/>
      <w:szCs w:val="28"/>
    </w:rPr>
  </w:style>
  <w:style w:type="paragraph" w:customStyle="1" w:styleId="288">
    <w:name w:val="正文缩进2格"/>
    <w:basedOn w:val="1"/>
    <w:link w:val="287"/>
    <w:qFormat/>
    <w:uiPriority w:val="0"/>
    <w:pPr>
      <w:spacing w:line="600" w:lineRule="exact"/>
      <w:ind w:firstLine="639"/>
    </w:pPr>
    <w:rPr>
      <w:rFonts w:ascii="仿宋_GB2312" w:hAnsi="宋体" w:eastAsia="仿宋_GB2312"/>
      <w:sz w:val="31"/>
      <w:szCs w:val="28"/>
      <w:lang w:eastAsia="en-US"/>
    </w:rPr>
  </w:style>
  <w:style w:type="character" w:customStyle="1" w:styleId="289">
    <w:name w:val="grid2"/>
    <w:qFormat/>
    <w:uiPriority w:val="0"/>
  </w:style>
  <w:style w:type="character" w:customStyle="1" w:styleId="290">
    <w:name w:val="other"/>
    <w:qFormat/>
    <w:uiPriority w:val="0"/>
  </w:style>
  <w:style w:type="character" w:customStyle="1" w:styleId="291">
    <w:name w:val="font01"/>
    <w:qFormat/>
    <w:uiPriority w:val="0"/>
    <w:rPr>
      <w:rFonts w:hint="eastAsia" w:ascii="宋体" w:hAnsi="宋体" w:eastAsia="宋体" w:cs="宋体"/>
      <w:b/>
      <w:color w:val="000000"/>
      <w:sz w:val="20"/>
      <w:szCs w:val="20"/>
      <w:u w:val="none"/>
    </w:rPr>
  </w:style>
  <w:style w:type="character" w:customStyle="1" w:styleId="292">
    <w:name w:val="noused"/>
    <w:qFormat/>
    <w:uiPriority w:val="0"/>
    <w:rPr>
      <w:b/>
      <w:color w:val="FFFFFF"/>
      <w:sz w:val="21"/>
      <w:szCs w:val="21"/>
    </w:rPr>
  </w:style>
  <w:style w:type="character" w:customStyle="1" w:styleId="293">
    <w:name w:val="active8"/>
    <w:qFormat/>
    <w:uiPriority w:val="0"/>
    <w:rPr>
      <w:color w:val="00FF00"/>
      <w:shd w:val="clear" w:color="auto" w:fill="000000"/>
    </w:rPr>
  </w:style>
  <w:style w:type="character" w:customStyle="1" w:styleId="294">
    <w:name w:val="font61"/>
    <w:qFormat/>
    <w:uiPriority w:val="0"/>
    <w:rPr>
      <w:rFonts w:hint="eastAsia" w:ascii="宋体" w:hAnsi="宋体" w:eastAsia="宋体" w:cs="宋体"/>
      <w:color w:val="000000"/>
      <w:sz w:val="20"/>
      <w:szCs w:val="20"/>
      <w:u w:val="none"/>
    </w:rPr>
  </w:style>
  <w:style w:type="character" w:customStyle="1" w:styleId="295">
    <w:name w:val="bds_more5"/>
    <w:qFormat/>
    <w:uiPriority w:val="0"/>
  </w:style>
  <w:style w:type="character" w:customStyle="1" w:styleId="296">
    <w:name w:val="bds_nopic2"/>
    <w:qFormat/>
    <w:uiPriority w:val="0"/>
  </w:style>
  <w:style w:type="character" w:customStyle="1" w:styleId="297">
    <w:name w:val="active"/>
    <w:qFormat/>
    <w:uiPriority w:val="0"/>
    <w:rPr>
      <w:color w:val="00FF00"/>
      <w:shd w:val="clear" w:color="auto" w:fill="000000"/>
    </w:rPr>
  </w:style>
  <w:style w:type="character" w:customStyle="1" w:styleId="298">
    <w:name w:val="列出段落 Char"/>
    <w:link w:val="299"/>
    <w:qFormat/>
    <w:uiPriority w:val="0"/>
    <w:rPr>
      <w:sz w:val="21"/>
      <w:szCs w:val="24"/>
    </w:rPr>
  </w:style>
  <w:style w:type="paragraph" w:customStyle="1" w:styleId="299">
    <w:name w:val="列出段落2"/>
    <w:basedOn w:val="1"/>
    <w:link w:val="298"/>
    <w:qFormat/>
    <w:uiPriority w:val="0"/>
    <w:pPr>
      <w:ind w:firstLine="420"/>
    </w:pPr>
    <w:rPr>
      <w:rFonts w:ascii="Times New Roman" w:hAnsi="Times New Roman"/>
      <w:szCs w:val="24"/>
      <w:lang w:eastAsia="en-US"/>
    </w:rPr>
  </w:style>
  <w:style w:type="character" w:customStyle="1" w:styleId="300">
    <w:name w:val="font41"/>
    <w:qFormat/>
    <w:uiPriority w:val="0"/>
    <w:rPr>
      <w:rFonts w:hint="eastAsia" w:ascii="宋体" w:hAnsi="宋体" w:eastAsia="宋体" w:cs="宋体"/>
      <w:color w:val="000000"/>
      <w:sz w:val="20"/>
      <w:szCs w:val="20"/>
      <w:u w:val="none"/>
    </w:rPr>
  </w:style>
  <w:style w:type="character" w:customStyle="1" w:styleId="301">
    <w:name w:val="font11"/>
    <w:qFormat/>
    <w:uiPriority w:val="0"/>
    <w:rPr>
      <w:rFonts w:ascii="宋体" w:hAnsi="宋体" w:eastAsia="宋体"/>
      <w:color w:val="000000"/>
      <w:sz w:val="28"/>
      <w:u w:val="none"/>
    </w:rPr>
  </w:style>
  <w:style w:type="character" w:customStyle="1" w:styleId="302">
    <w:name w:val="font81"/>
    <w:qFormat/>
    <w:uiPriority w:val="0"/>
    <w:rPr>
      <w:rFonts w:ascii="宋体" w:hAnsi="宋体" w:eastAsia="宋体"/>
      <w:b/>
      <w:color w:val="000000"/>
      <w:sz w:val="18"/>
      <w:u w:val="none"/>
    </w:rPr>
  </w:style>
  <w:style w:type="character" w:customStyle="1" w:styleId="303">
    <w:name w:val="font71"/>
    <w:qFormat/>
    <w:uiPriority w:val="0"/>
    <w:rPr>
      <w:rFonts w:hint="eastAsia" w:ascii="宋体" w:hAnsi="宋体" w:eastAsia="宋体" w:cs="宋体"/>
      <w:color w:val="000000"/>
      <w:sz w:val="20"/>
      <w:szCs w:val="20"/>
      <w:u w:val="none"/>
      <w:vertAlign w:val="superscript"/>
    </w:rPr>
  </w:style>
  <w:style w:type="character" w:customStyle="1" w:styleId="304">
    <w:name w:val="正文文本缩进 Char1"/>
    <w:qFormat/>
    <w:uiPriority w:val="0"/>
    <w:rPr>
      <w:rFonts w:eastAsia="楷体_GB2312"/>
      <w:sz w:val="26"/>
    </w:rPr>
  </w:style>
  <w:style w:type="character" w:customStyle="1" w:styleId="305">
    <w:name w:val="font101"/>
    <w:qFormat/>
    <w:uiPriority w:val="0"/>
    <w:rPr>
      <w:rFonts w:hint="eastAsia" w:ascii="微软雅黑" w:hAnsi="微软雅黑" w:eastAsia="微软雅黑" w:cs="微软雅黑"/>
      <w:color w:val="000000"/>
      <w:sz w:val="20"/>
      <w:szCs w:val="20"/>
      <w:u w:val="none"/>
      <w:vertAlign w:val="superscript"/>
    </w:rPr>
  </w:style>
  <w:style w:type="character" w:customStyle="1" w:styleId="306">
    <w:name w:val="日期 Char1"/>
    <w:qFormat/>
    <w:uiPriority w:val="0"/>
    <w:rPr>
      <w:rFonts w:eastAsia="楷体_GB2312"/>
      <w:sz w:val="26"/>
      <w:szCs w:val="26"/>
    </w:rPr>
  </w:style>
  <w:style w:type="character" w:customStyle="1" w:styleId="307">
    <w:name w:val="Balloon Text Char"/>
    <w:semiHidden/>
    <w:qFormat/>
    <w:uiPriority w:val="0"/>
    <w:rPr>
      <w:rFonts w:eastAsia="宋体"/>
      <w:sz w:val="18"/>
      <w:lang w:val="en-US" w:eastAsia="zh-CN"/>
    </w:rPr>
  </w:style>
  <w:style w:type="character" w:customStyle="1" w:styleId="308">
    <w:name w:val="font21"/>
    <w:qFormat/>
    <w:uiPriority w:val="0"/>
    <w:rPr>
      <w:rFonts w:hint="eastAsia" w:ascii="宋体" w:hAnsi="宋体" w:eastAsia="宋体" w:cs="宋体"/>
      <w:b/>
      <w:color w:val="000000"/>
      <w:sz w:val="20"/>
      <w:szCs w:val="20"/>
      <w:u w:val="none"/>
    </w:rPr>
  </w:style>
  <w:style w:type="character" w:customStyle="1" w:styleId="309">
    <w:name w:val="font31"/>
    <w:qFormat/>
    <w:uiPriority w:val="0"/>
    <w:rPr>
      <w:rFonts w:ascii="宋体" w:hAnsi="宋体" w:eastAsia="宋体"/>
      <w:color w:val="000000"/>
      <w:sz w:val="20"/>
      <w:u w:val="none"/>
    </w:rPr>
  </w:style>
  <w:style w:type="character" w:customStyle="1" w:styleId="310">
    <w:name w:val="Body Text Indent Char"/>
    <w:qFormat/>
    <w:uiPriority w:val="0"/>
    <w:rPr>
      <w:rFonts w:ascii="方正仿宋简体" w:hAnsi="创艺简仿宋" w:eastAsia="方正仿宋简体"/>
      <w:sz w:val="24"/>
    </w:rPr>
  </w:style>
  <w:style w:type="character" w:customStyle="1" w:styleId="311">
    <w:name w:val="Header Char1"/>
    <w:qFormat/>
    <w:uiPriority w:val="0"/>
    <w:rPr>
      <w:rFonts w:eastAsia="楷体_GB2312"/>
      <w:sz w:val="18"/>
    </w:rPr>
  </w:style>
  <w:style w:type="character" w:customStyle="1" w:styleId="312">
    <w:name w:val="Header Char"/>
    <w:qFormat/>
    <w:uiPriority w:val="0"/>
    <w:rPr>
      <w:sz w:val="18"/>
    </w:rPr>
  </w:style>
  <w:style w:type="character" w:customStyle="1" w:styleId="313">
    <w:name w:val="正文文本缩进 Char2"/>
    <w:qFormat/>
    <w:uiPriority w:val="0"/>
    <w:rPr>
      <w:rFonts w:eastAsia="楷体_GB2312"/>
      <w:sz w:val="26"/>
      <w:szCs w:val="26"/>
    </w:rPr>
  </w:style>
  <w:style w:type="paragraph" w:customStyle="1" w:styleId="314">
    <w:name w:val="p0"/>
    <w:basedOn w:val="1"/>
    <w:qFormat/>
    <w:uiPriority w:val="0"/>
    <w:pPr>
      <w:widowControl/>
    </w:pPr>
    <w:rPr>
      <w:szCs w:val="21"/>
    </w:rPr>
  </w:style>
  <w:style w:type="paragraph" w:customStyle="1" w:styleId="315">
    <w:name w:val="纯文本1"/>
    <w:basedOn w:val="1"/>
    <w:qFormat/>
    <w:uiPriority w:val="0"/>
    <w:rPr>
      <w:rFonts w:ascii="宋体" w:hAnsi="Courier New" w:eastAsia="楷体_GB2312"/>
      <w:sz w:val="28"/>
      <w:szCs w:val="20"/>
    </w:rPr>
  </w:style>
  <w:style w:type="paragraph" w:customStyle="1" w:styleId="316">
    <w:name w:val="Char Char1 Char Char Char Char"/>
    <w:basedOn w:val="17"/>
    <w:qFormat/>
    <w:uiPriority w:val="0"/>
    <w:pPr>
      <w:shd w:val="clear" w:color="auto" w:fill="000080"/>
      <w:spacing w:line="360" w:lineRule="auto"/>
    </w:pPr>
    <w:rPr>
      <w:rFonts w:ascii="Tahoma" w:hAnsi="Tahoma"/>
      <w:sz w:val="24"/>
      <w:szCs w:val="24"/>
    </w:rPr>
  </w:style>
  <w:style w:type="paragraph" w:customStyle="1" w:styleId="317">
    <w:name w:val="Char Char1 Char Char Char Char Char Char Char"/>
    <w:basedOn w:val="1"/>
    <w:qFormat/>
    <w:uiPriority w:val="0"/>
    <w:rPr>
      <w:rFonts w:ascii="Tahoma" w:hAnsi="Tahoma" w:eastAsia="楷体_GB2312"/>
      <w:sz w:val="24"/>
      <w:szCs w:val="20"/>
    </w:rPr>
  </w:style>
  <w:style w:type="paragraph" w:customStyle="1" w:styleId="318">
    <w:name w:val="Char"/>
    <w:basedOn w:val="1"/>
    <w:qFormat/>
    <w:uiPriority w:val="0"/>
    <w:pPr>
      <w:widowControl/>
      <w:spacing w:after="160" w:line="240" w:lineRule="exact"/>
      <w:jc w:val="left"/>
    </w:pPr>
    <w:rPr>
      <w:rFonts w:ascii="Verdana" w:hAnsi="Verdana"/>
      <w:szCs w:val="20"/>
      <w:lang w:eastAsia="en-US"/>
    </w:rPr>
  </w:style>
  <w:style w:type="paragraph" w:customStyle="1" w:styleId="319">
    <w:name w:val="Char1"/>
    <w:basedOn w:val="1"/>
    <w:qFormat/>
    <w:uiPriority w:val="0"/>
    <w:rPr>
      <w:rFonts w:ascii="Tahoma" w:hAnsi="Tahoma"/>
      <w:sz w:val="24"/>
      <w:szCs w:val="20"/>
    </w:rPr>
  </w:style>
  <w:style w:type="paragraph" w:customStyle="1" w:styleId="320">
    <w:name w:val="图"/>
    <w:basedOn w:val="1"/>
    <w:qFormat/>
    <w:uiPriority w:val="0"/>
    <w:pPr>
      <w:keepNext/>
      <w:spacing w:before="60" w:after="60" w:line="300" w:lineRule="auto"/>
      <w:jc w:val="center"/>
    </w:pPr>
    <w:rPr>
      <w:spacing w:val="20"/>
      <w:sz w:val="24"/>
      <w:szCs w:val="20"/>
    </w:rPr>
  </w:style>
  <w:style w:type="paragraph" w:customStyle="1" w:styleId="321">
    <w:name w:val="纯文本2"/>
    <w:basedOn w:val="1"/>
    <w:qFormat/>
    <w:uiPriority w:val="0"/>
    <w:rPr>
      <w:rFonts w:ascii="宋体" w:hAnsi="Courier New" w:eastAsia="楷体_GB2312"/>
      <w:sz w:val="26"/>
      <w:szCs w:val="20"/>
    </w:rPr>
  </w:style>
  <w:style w:type="paragraph" w:customStyle="1" w:styleId="322">
    <w:name w:val="Table Paragraph"/>
    <w:basedOn w:val="1"/>
    <w:qFormat/>
    <w:uiPriority w:val="1"/>
    <w:rPr>
      <w:rFonts w:ascii="仿宋" w:hAnsi="仿宋" w:eastAsia="仿宋" w:cs="仿宋"/>
      <w:lang w:val="zh-CN" w:bidi="zh-CN"/>
    </w:rPr>
  </w:style>
  <w:style w:type="paragraph" w:customStyle="1" w:styleId="323">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4">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5">
    <w:name w:val="xl10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26">
    <w:name w:val="xl12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7">
    <w:name w:val="xl12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28">
    <w:name w:val="font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29">
    <w:name w:val="xl16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b/>
      <w:bCs/>
      <w:sz w:val="20"/>
      <w:szCs w:val="20"/>
    </w:rPr>
  </w:style>
  <w:style w:type="paragraph" w:customStyle="1" w:styleId="330">
    <w:name w:val="xl12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31">
    <w:name w:val="xl1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32">
    <w:name w:val="font1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3">
    <w:name w:val="xl14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color w:val="000000"/>
      <w:sz w:val="20"/>
      <w:szCs w:val="20"/>
    </w:rPr>
  </w:style>
  <w:style w:type="paragraph" w:customStyle="1" w:styleId="334">
    <w:name w:val="font22"/>
    <w:basedOn w:val="1"/>
    <w:qFormat/>
    <w:uiPriority w:val="0"/>
    <w:pPr>
      <w:widowControl/>
      <w:spacing w:before="100" w:beforeAutospacing="1" w:after="100" w:afterAutospacing="1"/>
      <w:jc w:val="left"/>
    </w:pPr>
    <w:rPr>
      <w:rFonts w:ascii="宋体" w:hAnsi="宋体" w:cs="宋体"/>
      <w:sz w:val="18"/>
      <w:szCs w:val="18"/>
    </w:rPr>
  </w:style>
  <w:style w:type="paragraph" w:customStyle="1" w:styleId="335">
    <w:name w:val="xl15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b/>
      <w:bCs/>
      <w:sz w:val="20"/>
      <w:szCs w:val="20"/>
    </w:rPr>
  </w:style>
  <w:style w:type="paragraph" w:customStyle="1" w:styleId="336">
    <w:name w:val="xl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37">
    <w:name w:val="xl11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8">
    <w:name w:val="xl14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39">
    <w:name w:val="xl12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40">
    <w:name w:val="xl1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1">
    <w:name w:val="xl15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2">
    <w:name w:val="xl1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3">
    <w:name w:val="xl1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4">
    <w:name w:val="xl15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5">
    <w:name w:val="xl14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346">
    <w:name w:val="xl1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47">
    <w:name w:val="font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48">
    <w:name w:val="xl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49">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0">
    <w:name w:val="font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1">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52">
    <w:name w:val="xl10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53">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54">
    <w:name w:val="xl13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55">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sz w:val="20"/>
      <w:szCs w:val="20"/>
    </w:rPr>
  </w:style>
  <w:style w:type="paragraph" w:customStyle="1" w:styleId="356">
    <w:name w:val="列出段落11"/>
    <w:basedOn w:val="1"/>
    <w:qFormat/>
    <w:uiPriority w:val="34"/>
    <w:pPr>
      <w:ind w:firstLine="420"/>
    </w:pPr>
    <w:rPr>
      <w:sz w:val="26"/>
      <w:szCs w:val="26"/>
    </w:rPr>
  </w:style>
  <w:style w:type="paragraph" w:customStyle="1" w:styleId="357">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58">
    <w:name w:val="xl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b/>
      <w:bCs/>
      <w:sz w:val="20"/>
      <w:szCs w:val="20"/>
    </w:rPr>
  </w:style>
  <w:style w:type="paragraph" w:customStyle="1" w:styleId="359">
    <w:name w:val="xl1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0">
    <w:name w:val="xl1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color w:val="000000"/>
      <w:sz w:val="20"/>
      <w:szCs w:val="20"/>
    </w:rPr>
  </w:style>
  <w:style w:type="paragraph" w:customStyle="1" w:styleId="361">
    <w:name w:val="xl15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62">
    <w:name w:val="xl13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3">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364">
    <w:name w:val="xl1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65">
    <w:name w:val="xl15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66">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67">
    <w:name w:val="xl12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68">
    <w:name w:val="xl14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69">
    <w:name w:val="xl15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color w:val="000000"/>
      <w:sz w:val="20"/>
      <w:szCs w:val="20"/>
    </w:rPr>
  </w:style>
  <w:style w:type="paragraph" w:customStyle="1" w:styleId="370">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sz w:val="20"/>
      <w:szCs w:val="20"/>
    </w:rPr>
  </w:style>
  <w:style w:type="paragraph" w:customStyle="1" w:styleId="371">
    <w:name w:val="正文1"/>
    <w:qFormat/>
    <w:uiPriority w:val="0"/>
    <w:pPr>
      <w:spacing w:line="240" w:lineRule="atLeast"/>
      <w:ind w:firstLine="200"/>
      <w:jc w:val="both"/>
    </w:pPr>
    <w:rPr>
      <w:rFonts w:ascii="Calibri" w:hAnsi="Calibri" w:eastAsia="宋体" w:cs="Times New Roman"/>
      <w:sz w:val="21"/>
      <w:szCs w:val="21"/>
      <w:lang w:val="en-US" w:eastAsia="zh-CN" w:bidi="ar-SA"/>
    </w:rPr>
  </w:style>
  <w:style w:type="paragraph" w:customStyle="1" w:styleId="372">
    <w:name w:val="xl1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3">
    <w:name w:val="font16"/>
    <w:basedOn w:val="1"/>
    <w:qFormat/>
    <w:uiPriority w:val="0"/>
    <w:pPr>
      <w:widowControl/>
      <w:spacing w:before="100" w:beforeAutospacing="1" w:after="100" w:afterAutospacing="1"/>
      <w:jc w:val="left"/>
    </w:pPr>
    <w:rPr>
      <w:rFonts w:ascii="宋体" w:hAnsi="宋体" w:cs="宋体"/>
      <w:sz w:val="18"/>
      <w:szCs w:val="18"/>
    </w:rPr>
  </w:style>
  <w:style w:type="paragraph" w:customStyle="1" w:styleId="374">
    <w:name w:val="Normal_20"/>
    <w:qFormat/>
    <w:uiPriority w:val="0"/>
    <w:pPr>
      <w:spacing w:before="120" w:after="240"/>
      <w:jc w:val="both"/>
    </w:pPr>
    <w:rPr>
      <w:rFonts w:ascii="Calibri" w:hAnsi="Calibri" w:eastAsia="Calibri" w:cs="Times New Roman"/>
      <w:sz w:val="22"/>
      <w:szCs w:val="22"/>
      <w:lang w:val="ru-RU" w:eastAsia="en-US" w:bidi="ar-SA"/>
    </w:rPr>
  </w:style>
  <w:style w:type="paragraph" w:customStyle="1" w:styleId="375">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color w:val="000000"/>
      <w:sz w:val="20"/>
      <w:szCs w:val="20"/>
    </w:rPr>
  </w:style>
  <w:style w:type="paragraph" w:customStyle="1" w:styleId="376">
    <w:name w:val="xl13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377">
    <w:name w:val="_Style 7"/>
    <w:basedOn w:val="1"/>
    <w:qFormat/>
    <w:uiPriority w:val="0"/>
    <w:pPr>
      <w:ind w:firstLine="420"/>
    </w:pPr>
    <w:rPr>
      <w:sz w:val="26"/>
      <w:szCs w:val="26"/>
    </w:rPr>
  </w:style>
  <w:style w:type="paragraph" w:customStyle="1" w:styleId="378">
    <w:name w:val="xl10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sz w:val="20"/>
      <w:szCs w:val="20"/>
    </w:rPr>
  </w:style>
  <w:style w:type="paragraph" w:customStyle="1" w:styleId="379">
    <w:name w:val="xl1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paragraph" w:customStyle="1" w:styleId="380">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1">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b/>
      <w:bCs/>
      <w:color w:val="000000"/>
      <w:sz w:val="20"/>
      <w:szCs w:val="20"/>
    </w:rPr>
  </w:style>
  <w:style w:type="paragraph" w:customStyle="1" w:styleId="382">
    <w:name w:val="xl99"/>
    <w:basedOn w:val="1"/>
    <w:qFormat/>
    <w:uiPriority w:val="0"/>
    <w:pPr>
      <w:widowControl/>
      <w:spacing w:before="100" w:beforeAutospacing="1" w:after="100" w:afterAutospacing="1"/>
      <w:jc w:val="center"/>
    </w:pPr>
    <w:rPr>
      <w:rFonts w:ascii="Courier New" w:hAnsi="Courier New" w:cs="Courier New"/>
      <w:color w:val="000000"/>
      <w:sz w:val="20"/>
      <w:szCs w:val="20"/>
    </w:rPr>
  </w:style>
  <w:style w:type="paragraph" w:customStyle="1" w:styleId="383">
    <w:name w:val="xl15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84">
    <w:name w:val="_Style 26"/>
    <w:next w:val="1"/>
    <w:qFormat/>
    <w:uiPriority w:val="99"/>
    <w:pPr>
      <w:widowControl w:val="0"/>
      <w:jc w:val="both"/>
    </w:pPr>
    <w:rPr>
      <w:rFonts w:ascii="Calibri" w:hAnsi="Calibri" w:eastAsia="楷体_GB2312" w:cs="Times New Roman"/>
      <w:sz w:val="26"/>
      <w:szCs w:val="26"/>
      <w:lang w:val="en-US" w:eastAsia="zh-CN" w:bidi="ar-SA"/>
    </w:rPr>
  </w:style>
  <w:style w:type="paragraph" w:customStyle="1" w:styleId="385">
    <w:name w:val="样式 标题 1 + 宋体 段前: 0 磅 段后: 0 磅 行距: 单倍行距"/>
    <w:basedOn w:val="2"/>
    <w:next w:val="1"/>
    <w:qFormat/>
    <w:uiPriority w:val="0"/>
    <w:pPr>
      <w:spacing w:line="240" w:lineRule="auto"/>
      <w:jc w:val="center"/>
    </w:pPr>
    <w:rPr>
      <w:rFonts w:ascii="仿宋_GB2312" w:hAnsi="宋体" w:eastAsia="仿宋_GB2312" w:cs="宋体"/>
      <w:bCs/>
      <w:szCs w:val="44"/>
    </w:rPr>
  </w:style>
  <w:style w:type="paragraph" w:customStyle="1" w:styleId="386">
    <w:name w:val="font9"/>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7">
    <w:name w:val="font20"/>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88">
    <w:name w:val="font13"/>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9">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cs="Courier New"/>
      <w:color w:val="000000"/>
      <w:sz w:val="20"/>
      <w:szCs w:val="20"/>
    </w:rPr>
  </w:style>
  <w:style w:type="paragraph" w:customStyle="1" w:styleId="390">
    <w:name w:val="xl11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391">
    <w:name w:val="xl13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2">
    <w:name w:val="font18"/>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3">
    <w:name w:val="xl1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4">
    <w:name w:val="xl158"/>
    <w:basedOn w:val="1"/>
    <w:qFormat/>
    <w:uiPriority w:val="0"/>
    <w:pPr>
      <w:widowControl/>
      <w:spacing w:before="100" w:beforeAutospacing="1" w:after="100" w:afterAutospacing="1"/>
      <w:jc w:val="left"/>
    </w:pPr>
    <w:rPr>
      <w:rFonts w:ascii="Courier New" w:hAnsi="Courier New" w:cs="Courier New"/>
      <w:color w:val="000000"/>
      <w:sz w:val="20"/>
      <w:szCs w:val="20"/>
    </w:rPr>
  </w:style>
  <w:style w:type="paragraph" w:customStyle="1" w:styleId="395">
    <w:name w:val="xl11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396">
    <w:name w:val="xl13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7">
    <w:name w:val="font5"/>
    <w:basedOn w:val="1"/>
    <w:qFormat/>
    <w:uiPriority w:val="0"/>
    <w:pPr>
      <w:widowControl/>
      <w:spacing w:before="100" w:beforeAutospacing="1" w:after="100" w:afterAutospacing="1"/>
      <w:jc w:val="left"/>
    </w:pPr>
    <w:rPr>
      <w:rFonts w:ascii="宋体" w:hAnsi="宋体" w:cs="宋体"/>
      <w:sz w:val="18"/>
      <w:szCs w:val="18"/>
    </w:rPr>
  </w:style>
  <w:style w:type="paragraph" w:customStyle="1" w:styleId="398">
    <w:name w:val="xl15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仿宋" w:hAnsi="仿宋" w:eastAsia="仿宋" w:cs="宋体"/>
      <w:sz w:val="20"/>
      <w:szCs w:val="20"/>
    </w:rPr>
  </w:style>
  <w:style w:type="paragraph" w:customStyle="1" w:styleId="399">
    <w:name w:val="font19"/>
    <w:basedOn w:val="1"/>
    <w:qFormat/>
    <w:uiPriority w:val="0"/>
    <w:pPr>
      <w:widowControl/>
      <w:spacing w:before="100" w:beforeAutospacing="1" w:after="100" w:afterAutospacing="1"/>
      <w:jc w:val="left"/>
    </w:pPr>
    <w:rPr>
      <w:rFonts w:ascii="宋体" w:hAnsi="宋体" w:cs="宋体"/>
      <w:sz w:val="18"/>
      <w:szCs w:val="18"/>
    </w:rPr>
  </w:style>
  <w:style w:type="paragraph" w:customStyle="1" w:styleId="400">
    <w:name w:val="xl16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Courier New" w:hAnsi="Courier New" w:cs="Courier New"/>
      <w:b/>
      <w:bCs/>
      <w:sz w:val="20"/>
      <w:szCs w:val="20"/>
    </w:rPr>
  </w:style>
  <w:style w:type="paragraph" w:customStyle="1" w:styleId="401">
    <w:name w:val="xl112"/>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2">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3">
    <w:name w:val="xl13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color w:val="000000"/>
      <w:sz w:val="20"/>
      <w:szCs w:val="20"/>
    </w:rPr>
  </w:style>
  <w:style w:type="paragraph" w:customStyle="1" w:styleId="404">
    <w:name w:val="xl1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仿宋" w:hAnsi="仿宋" w:eastAsia="仿宋" w:cs="宋体"/>
      <w:sz w:val="20"/>
      <w:szCs w:val="20"/>
    </w:rPr>
  </w:style>
  <w:style w:type="paragraph" w:customStyle="1" w:styleId="405">
    <w:name w:val="xl12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仿宋" w:hAnsi="仿宋" w:eastAsia="仿宋" w:cs="宋体"/>
      <w:sz w:val="20"/>
      <w:szCs w:val="20"/>
    </w:rPr>
  </w:style>
  <w:style w:type="paragraph" w:customStyle="1" w:styleId="406">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Courier New" w:hAnsi="Courier New" w:cs="Courier New"/>
      <w:sz w:val="20"/>
      <w:szCs w:val="20"/>
    </w:rPr>
  </w:style>
  <w:style w:type="paragraph" w:customStyle="1" w:styleId="407">
    <w:name w:val="xl14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仿宋" w:hAnsi="仿宋" w:eastAsia="仿宋" w:cs="宋体"/>
      <w:sz w:val="20"/>
      <w:szCs w:val="20"/>
    </w:rPr>
  </w:style>
  <w:style w:type="paragraph" w:customStyle="1" w:styleId="408">
    <w:name w:val="xl14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cs="Courier New"/>
      <w:sz w:val="20"/>
      <w:szCs w:val="20"/>
    </w:rPr>
  </w:style>
  <w:style w:type="table" w:customStyle="1" w:styleId="409">
    <w:name w:val="网格型11"/>
    <w:basedOn w:val="59"/>
    <w:qFormat/>
    <w:uiPriority w:val="0"/>
    <w:pPr>
      <w:widowControl w:val="0"/>
      <w:jc w:val="both"/>
    </w:pPr>
    <w:rPr>
      <w:rFonts w:ascii="Calibri" w:hAnsi="Calibri"/>
      <w:sz w:val="21"/>
      <w:szCs w:val="22"/>
    </w:rPr>
  </w:style>
  <w:style w:type="character" w:customStyle="1" w:styleId="410">
    <w:name w:val="纯文本 字符"/>
    <w:qFormat/>
    <w:uiPriority w:val="0"/>
    <w:rPr>
      <w:rFonts w:ascii="宋体" w:hAnsi="Courier New" w:eastAsia="楷体_GB2312"/>
      <w:sz w:val="26"/>
      <w:lang w:val="en-US" w:eastAsia="zh-CN" w:bidi="ar-SA"/>
    </w:rPr>
  </w:style>
  <w:style w:type="paragraph" w:customStyle="1" w:styleId="411">
    <w:name w:val="_Style 225"/>
    <w:qFormat/>
    <w:uiPriority w:val="0"/>
    <w:pPr>
      <w:widowControl w:val="0"/>
      <w:spacing w:after="120"/>
      <w:ind w:firstLine="420"/>
      <w:jc w:val="both"/>
    </w:pPr>
    <w:rPr>
      <w:rFonts w:ascii="Calibri" w:hAnsi="Calibri" w:eastAsia="楷体_GB2312" w:cs="Times New Roman"/>
      <w:sz w:val="26"/>
      <w:lang w:val="en-US" w:eastAsia="zh-CN" w:bidi="ar-SA"/>
    </w:rPr>
  </w:style>
  <w:style w:type="character" w:customStyle="1" w:styleId="412">
    <w:name w:val="正文文本 字符"/>
    <w:qFormat/>
    <w:uiPriority w:val="0"/>
    <w:rPr>
      <w:rFonts w:ascii="楷体_GB2312" w:eastAsia="楷体_GB2312"/>
      <w:sz w:val="28"/>
    </w:rPr>
  </w:style>
  <w:style w:type="character" w:customStyle="1" w:styleId="413">
    <w:name w:val="正文文本 字符1"/>
    <w:qFormat/>
    <w:uiPriority w:val="0"/>
    <w:rPr>
      <w:rFonts w:ascii="楷体_GB2312" w:eastAsia="楷体_GB2312"/>
      <w:sz w:val="28"/>
    </w:rPr>
  </w:style>
  <w:style w:type="table" w:customStyle="1" w:styleId="414">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5">
    <w:name w:val="Table Normal1"/>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6">
    <w:name w:val="Table Normal2"/>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417">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418">
    <w:name w:val="正文文本首行缩进 2 字符"/>
    <w:link w:val="23"/>
    <w:semiHidden/>
    <w:qFormat/>
    <w:uiPriority w:val="99"/>
    <w:rPr>
      <w:rFonts w:ascii="Calibri" w:hAnsi="Calibri"/>
      <w:sz w:val="21"/>
      <w:szCs w:val="22"/>
    </w:rPr>
  </w:style>
  <w:style w:type="character" w:customStyle="1" w:styleId="419">
    <w:name w:val="HTML 预设格式 字符1"/>
    <w:basedOn w:val="61"/>
    <w:link w:val="53"/>
    <w:qFormat/>
    <w:uiPriority w:val="0"/>
    <w:rPr>
      <w:rFonts w:hint="eastAsia" w:ascii="黑体" w:hAnsi="Courier New" w:eastAsia="黑体" w:cs="黑体"/>
    </w:rPr>
  </w:style>
  <w:style w:type="paragraph" w:customStyle="1" w:styleId="420">
    <w:name w:val="正文首行缩进11"/>
    <w:basedOn w:val="421"/>
    <w:qFormat/>
    <w:uiPriority w:val="0"/>
    <w:pPr>
      <w:spacing w:line="360" w:lineRule="auto"/>
      <w:ind w:firstLine="200"/>
    </w:pPr>
    <w:rPr>
      <w:rFonts w:ascii="仿宋_GB2312" w:eastAsia="仿宋_GB2312"/>
      <w:sz w:val="30"/>
      <w:szCs w:val="30"/>
    </w:rPr>
  </w:style>
  <w:style w:type="paragraph" w:customStyle="1" w:styleId="421">
    <w:name w:val="正文文本11"/>
    <w:basedOn w:val="1"/>
    <w:next w:val="1"/>
    <w:qFormat/>
    <w:uiPriority w:val="0"/>
    <w:rPr>
      <w:rFonts w:ascii="楷体_GB2312" w:hAnsi="Arial" w:eastAsia="楷体_GB2312"/>
      <w:sz w:val="28"/>
      <w:szCs w:val="28"/>
    </w:rPr>
  </w:style>
  <w:style w:type="paragraph" w:customStyle="1" w:styleId="422">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D3237-13DC-47C3-A1B9-921C7014B04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41</Pages>
  <Words>15968</Words>
  <Characters>16552</Characters>
  <Lines>148</Lines>
  <Paragraphs>41</Paragraphs>
  <TotalTime>5</TotalTime>
  <ScaleCrop>false</ScaleCrop>
  <LinksUpToDate>false</LinksUpToDate>
  <CharactersWithSpaces>17034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2026-01-29T10:09:00Z</dcterms:created>
  <dc:creator>佳得乐</dc:creator>
  <cp:lastModifiedBy>WPS_1776131631</cp:lastModifiedBy>
  <cp:lastPrinted>2025-03-19T16:44:00Z</cp:lastPrinted>
  <dcterms:modified xsi:type="dcterms:W3CDTF">2026-04-14T02:24:53Z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FBBE85675F834989A4A347F5C444D64F_13</vt:lpwstr>
  </property>
  <property fmtid="{D5CDD505-2E9C-101B-9397-08002B2CF9AE}" pid="4" name="KSOTemplateDocerSaveRecord">
    <vt:lpwstr>eyJoZGlkIjoiMzZhMzE4ZDQ3YjM3ZTBjZjU3ZDBjMTg0OTdmZjczZmMiLCJ1c2VySWQiOiIxODIyODY3Nzg2In0=</vt:lpwstr>
  </property>
</Properties>
</file>