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3AA7D">
      <w:pPr>
        <w:jc w:val="both"/>
        <w:rPr>
          <w:color w:val="auto"/>
          <w:sz w:val="36"/>
          <w:highlight w:val="none"/>
        </w:rPr>
      </w:pPr>
    </w:p>
    <w:p w14:paraId="5282E9AE">
      <w:pPr>
        <w:jc w:val="center"/>
        <w:rPr>
          <w:color w:val="auto"/>
          <w:sz w:val="36"/>
          <w:highlight w:val="none"/>
        </w:rPr>
      </w:pPr>
    </w:p>
    <w:p w14:paraId="1C157FE2">
      <w:pPr>
        <w:jc w:val="center"/>
        <w:rPr>
          <w:color w:val="auto"/>
          <w:sz w:val="28"/>
          <w:highlight w:val="none"/>
        </w:rPr>
      </w:pPr>
      <w:r>
        <w:rPr>
          <w:rFonts w:hint="eastAsia" w:hAnsi="黑体" w:eastAsia="黑体"/>
          <w:color w:val="auto"/>
          <w:w w:val="90"/>
          <w:kern w:val="0"/>
          <w:sz w:val="44"/>
          <w:szCs w:val="44"/>
          <w:highlight w:val="none"/>
          <w:lang w:val="en-US" w:eastAsia="zh-CN"/>
        </w:rPr>
        <w:t>2026年环评文件抽查技术复核及环境影响报告表技术审查项目</w:t>
      </w:r>
    </w:p>
    <w:p w14:paraId="1EF9B049">
      <w:pPr>
        <w:jc w:val="center"/>
        <w:rPr>
          <w:rFonts w:hAnsi="宋体"/>
          <w:color w:val="auto"/>
          <w:w w:val="150"/>
          <w:sz w:val="44"/>
          <w:szCs w:val="44"/>
          <w:highlight w:val="none"/>
        </w:rPr>
      </w:pPr>
    </w:p>
    <w:p w14:paraId="470408D3">
      <w:pPr>
        <w:jc w:val="center"/>
        <w:rPr>
          <w:rFonts w:hAnsi="宋体"/>
          <w:color w:val="auto"/>
          <w:w w:val="150"/>
          <w:sz w:val="44"/>
          <w:szCs w:val="44"/>
          <w:highlight w:val="none"/>
        </w:rPr>
      </w:pPr>
    </w:p>
    <w:p w14:paraId="4ED941C2">
      <w:pPr>
        <w:jc w:val="center"/>
        <w:rPr>
          <w:color w:val="auto"/>
          <w:w w:val="150"/>
          <w:sz w:val="44"/>
          <w:szCs w:val="44"/>
          <w:highlight w:val="none"/>
        </w:rPr>
      </w:pPr>
      <w:r>
        <w:rPr>
          <w:rFonts w:hAnsi="宋体"/>
          <w:color w:val="auto"/>
          <w:w w:val="150"/>
          <w:sz w:val="44"/>
          <w:szCs w:val="44"/>
          <w:highlight w:val="none"/>
        </w:rPr>
        <w:t>竞争性磋商文件</w:t>
      </w:r>
    </w:p>
    <w:p w14:paraId="0D3E5171">
      <w:pPr>
        <w:jc w:val="center"/>
        <w:rPr>
          <w:color w:val="auto"/>
          <w:sz w:val="30"/>
          <w:szCs w:val="30"/>
          <w:highlight w:val="none"/>
        </w:rPr>
      </w:pPr>
    </w:p>
    <w:p w14:paraId="4876D0E4">
      <w:pPr>
        <w:jc w:val="center"/>
        <w:rPr>
          <w:rFonts w:hint="default" w:eastAsia="宋体"/>
          <w:color w:val="auto"/>
          <w:sz w:val="30"/>
          <w:szCs w:val="30"/>
          <w:highlight w:val="none"/>
          <w:lang w:val="en-US" w:eastAsia="zh-CN"/>
        </w:rPr>
      </w:pPr>
      <w:r>
        <w:rPr>
          <w:color w:val="auto"/>
          <w:sz w:val="30"/>
          <w:szCs w:val="30"/>
          <w:highlight w:val="none"/>
        </w:rPr>
        <w:t>项目编号：</w:t>
      </w:r>
      <w:r>
        <w:rPr>
          <w:rFonts w:hint="eastAsia"/>
          <w:color w:val="auto"/>
          <w:sz w:val="30"/>
          <w:szCs w:val="30"/>
          <w:highlight w:val="none"/>
          <w:lang w:val="en-US" w:eastAsia="zh-CN"/>
        </w:rPr>
        <w:t>CJZD-CS2026-008</w:t>
      </w:r>
    </w:p>
    <w:p w14:paraId="7EDBAC9A">
      <w:pPr>
        <w:jc w:val="center"/>
        <w:rPr>
          <w:color w:val="auto"/>
          <w:sz w:val="28"/>
          <w:highlight w:val="none"/>
        </w:rPr>
      </w:pPr>
    </w:p>
    <w:p w14:paraId="1C9CB41A">
      <w:pPr>
        <w:jc w:val="center"/>
        <w:rPr>
          <w:color w:val="auto"/>
          <w:sz w:val="28"/>
          <w:highlight w:val="none"/>
        </w:rPr>
      </w:pPr>
    </w:p>
    <w:p w14:paraId="067775A1">
      <w:pPr>
        <w:jc w:val="center"/>
        <w:rPr>
          <w:color w:val="auto"/>
          <w:sz w:val="28"/>
          <w:highlight w:val="none"/>
        </w:rPr>
      </w:pPr>
    </w:p>
    <w:p w14:paraId="21066FBC">
      <w:pPr>
        <w:jc w:val="center"/>
        <w:rPr>
          <w:color w:val="auto"/>
          <w:sz w:val="28"/>
          <w:highlight w:val="none"/>
        </w:rPr>
      </w:pPr>
    </w:p>
    <w:p w14:paraId="7E8ADC28">
      <w:pPr>
        <w:jc w:val="center"/>
        <w:rPr>
          <w:color w:val="auto"/>
          <w:sz w:val="28"/>
          <w:highlight w:val="none"/>
        </w:rPr>
      </w:pPr>
    </w:p>
    <w:p w14:paraId="79D0F1E2">
      <w:pPr>
        <w:spacing w:line="500" w:lineRule="exact"/>
        <w:jc w:val="center"/>
        <w:rPr>
          <w:rFonts w:eastAsia="仿宋_GB2312"/>
          <w:b/>
          <w:color w:val="auto"/>
          <w:sz w:val="36"/>
          <w:szCs w:val="36"/>
          <w:highlight w:val="none"/>
        </w:rPr>
      </w:pPr>
    </w:p>
    <w:p w14:paraId="7E920A64">
      <w:pPr>
        <w:spacing w:line="500" w:lineRule="exact"/>
        <w:jc w:val="center"/>
        <w:rPr>
          <w:rFonts w:eastAsia="仿宋_GB2312"/>
          <w:b/>
          <w:color w:val="auto"/>
          <w:sz w:val="36"/>
          <w:szCs w:val="36"/>
          <w:highlight w:val="none"/>
        </w:rPr>
      </w:pPr>
    </w:p>
    <w:p w14:paraId="5ABECD3A">
      <w:pPr>
        <w:spacing w:line="360" w:lineRule="auto"/>
        <w:jc w:val="center"/>
        <w:rPr>
          <w:color w:val="auto"/>
          <w:highlight w:val="none"/>
        </w:rPr>
      </w:pPr>
    </w:p>
    <w:p w14:paraId="25BCBEEF">
      <w:pPr>
        <w:spacing w:line="500" w:lineRule="exact"/>
        <w:jc w:val="center"/>
        <w:rPr>
          <w:rFonts w:hint="eastAsia"/>
          <w:snapToGrid w:val="0"/>
          <w:color w:val="auto"/>
          <w:sz w:val="32"/>
          <w:szCs w:val="32"/>
          <w:highlight w:val="none"/>
        </w:rPr>
      </w:pPr>
      <w:r>
        <w:rPr>
          <w:rFonts w:hint="eastAsia"/>
          <w:snapToGrid w:val="0"/>
          <w:color w:val="auto"/>
          <w:sz w:val="32"/>
          <w:szCs w:val="32"/>
          <w:highlight w:val="none"/>
        </w:rPr>
        <w:t>采购单位：南通市生态环境局</w:t>
      </w:r>
    </w:p>
    <w:p w14:paraId="69137A9A">
      <w:pPr>
        <w:spacing w:line="500" w:lineRule="exact"/>
        <w:jc w:val="center"/>
        <w:rPr>
          <w:rFonts w:hint="eastAsia"/>
          <w:snapToGrid w:val="0"/>
          <w:color w:val="auto"/>
          <w:sz w:val="32"/>
          <w:szCs w:val="32"/>
          <w:highlight w:val="none"/>
          <w:lang w:eastAsia="zh-CN"/>
        </w:rPr>
      </w:pPr>
      <w:r>
        <w:rPr>
          <w:rFonts w:hint="eastAsia"/>
          <w:snapToGrid w:val="0"/>
          <w:color w:val="auto"/>
          <w:sz w:val="32"/>
          <w:szCs w:val="32"/>
          <w:highlight w:val="none"/>
        </w:rPr>
        <w:t>代理单位：</w:t>
      </w:r>
      <w:r>
        <w:rPr>
          <w:rFonts w:hint="eastAsia"/>
          <w:snapToGrid w:val="0"/>
          <w:color w:val="auto"/>
          <w:sz w:val="32"/>
          <w:szCs w:val="32"/>
          <w:highlight w:val="none"/>
          <w:lang w:eastAsia="zh-CN"/>
        </w:rPr>
        <w:t>江苏澄建正达工程项目管理有限公司</w:t>
      </w:r>
    </w:p>
    <w:p w14:paraId="20EA8AD5">
      <w:pPr>
        <w:spacing w:line="500" w:lineRule="exact"/>
        <w:jc w:val="center"/>
        <w:rPr>
          <w:snapToGrid w:val="0"/>
          <w:color w:val="auto"/>
          <w:sz w:val="32"/>
          <w:szCs w:val="32"/>
          <w:highlight w:val="none"/>
        </w:rPr>
      </w:pPr>
      <w:r>
        <w:rPr>
          <w:rFonts w:hint="eastAsia"/>
          <w:snapToGrid w:val="0"/>
          <w:color w:val="auto"/>
          <w:sz w:val="32"/>
          <w:szCs w:val="32"/>
          <w:highlight w:val="none"/>
        </w:rPr>
        <w:t>二〇二六年</w:t>
      </w:r>
      <w:r>
        <w:rPr>
          <w:rFonts w:hint="eastAsia"/>
          <w:snapToGrid w:val="0"/>
          <w:color w:val="auto"/>
          <w:sz w:val="32"/>
          <w:szCs w:val="32"/>
          <w:highlight w:val="none"/>
          <w:lang w:val="en-US" w:eastAsia="zh-CN"/>
        </w:rPr>
        <w:t>四</w:t>
      </w:r>
      <w:r>
        <w:rPr>
          <w:rFonts w:hint="eastAsia"/>
          <w:snapToGrid w:val="0"/>
          <w:color w:val="auto"/>
          <w:sz w:val="32"/>
          <w:szCs w:val="32"/>
          <w:highlight w:val="none"/>
        </w:rPr>
        <w:t>月</w:t>
      </w:r>
    </w:p>
    <w:p w14:paraId="44F34EAD">
      <w:pPr>
        <w:spacing w:line="500" w:lineRule="exact"/>
        <w:jc w:val="center"/>
        <w:outlineLvl w:val="0"/>
        <w:rPr>
          <w:b/>
          <w:color w:val="auto"/>
          <w:w w:val="150"/>
          <w:sz w:val="38"/>
          <w:szCs w:val="38"/>
          <w:highlight w:val="none"/>
        </w:rPr>
      </w:pPr>
      <w:r>
        <w:rPr>
          <w:rFonts w:hAnsi="宋体"/>
          <w:b/>
          <w:color w:val="auto"/>
          <w:w w:val="150"/>
          <w:sz w:val="38"/>
          <w:szCs w:val="38"/>
          <w:highlight w:val="none"/>
        </w:rPr>
        <w:br w:type="page"/>
      </w:r>
      <w:r>
        <w:rPr>
          <w:rFonts w:hAnsi="宋体"/>
          <w:b/>
          <w:color w:val="auto"/>
          <w:w w:val="150"/>
          <w:sz w:val="38"/>
          <w:szCs w:val="38"/>
          <w:highlight w:val="none"/>
        </w:rPr>
        <w:t>目</w:t>
      </w:r>
      <w:r>
        <w:rPr>
          <w:b/>
          <w:color w:val="auto"/>
          <w:w w:val="150"/>
          <w:sz w:val="38"/>
          <w:szCs w:val="38"/>
          <w:highlight w:val="none"/>
        </w:rPr>
        <w:t xml:space="preserve">  </w:t>
      </w:r>
      <w:r>
        <w:rPr>
          <w:rFonts w:hAnsi="宋体"/>
          <w:b/>
          <w:color w:val="auto"/>
          <w:w w:val="150"/>
          <w:sz w:val="38"/>
          <w:szCs w:val="38"/>
          <w:highlight w:val="none"/>
        </w:rPr>
        <w:t>录</w:t>
      </w:r>
    </w:p>
    <w:p w14:paraId="298A7043">
      <w:pPr>
        <w:tabs>
          <w:tab w:val="left" w:pos="7740"/>
        </w:tabs>
        <w:spacing w:line="360" w:lineRule="auto"/>
        <w:rPr>
          <w:snapToGrid w:val="0"/>
          <w:color w:val="auto"/>
          <w:sz w:val="26"/>
          <w:szCs w:val="26"/>
          <w:highlight w:val="none"/>
        </w:rPr>
      </w:pPr>
    </w:p>
    <w:p w14:paraId="2E15F370">
      <w:pPr>
        <w:tabs>
          <w:tab w:val="left" w:pos="7740"/>
        </w:tabs>
        <w:spacing w:line="360" w:lineRule="auto"/>
        <w:rPr>
          <w:bCs/>
          <w:color w:val="auto"/>
          <w:sz w:val="32"/>
          <w:szCs w:val="32"/>
          <w:highlight w:val="none"/>
        </w:rPr>
      </w:pPr>
      <w:r>
        <w:rPr>
          <w:rFonts w:hAnsi="宋体"/>
          <w:bCs/>
          <w:color w:val="auto"/>
          <w:sz w:val="32"/>
          <w:szCs w:val="32"/>
          <w:highlight w:val="none"/>
        </w:rPr>
        <w:t>第一部分</w:t>
      </w:r>
      <w:r>
        <w:rPr>
          <w:bCs/>
          <w:color w:val="auto"/>
          <w:sz w:val="32"/>
          <w:szCs w:val="32"/>
          <w:highlight w:val="none"/>
        </w:rPr>
        <w:t xml:space="preserve">  </w:t>
      </w:r>
      <w:r>
        <w:rPr>
          <w:rFonts w:hAnsi="宋体"/>
          <w:bCs/>
          <w:color w:val="auto"/>
          <w:sz w:val="32"/>
          <w:szCs w:val="32"/>
          <w:highlight w:val="none"/>
        </w:rPr>
        <w:t>竞争性磋商公告</w:t>
      </w:r>
    </w:p>
    <w:p w14:paraId="29D6B9DB">
      <w:pPr>
        <w:tabs>
          <w:tab w:val="left" w:pos="7740"/>
        </w:tabs>
        <w:spacing w:line="360" w:lineRule="auto"/>
        <w:rPr>
          <w:bCs/>
          <w:color w:val="auto"/>
          <w:sz w:val="32"/>
          <w:szCs w:val="32"/>
          <w:highlight w:val="none"/>
        </w:rPr>
      </w:pPr>
      <w:r>
        <w:rPr>
          <w:rFonts w:hAnsi="宋体"/>
          <w:bCs/>
          <w:color w:val="auto"/>
          <w:sz w:val="32"/>
          <w:szCs w:val="32"/>
          <w:highlight w:val="none"/>
        </w:rPr>
        <w:t>第二部分</w:t>
      </w:r>
      <w:r>
        <w:rPr>
          <w:bCs/>
          <w:color w:val="auto"/>
          <w:sz w:val="32"/>
          <w:szCs w:val="32"/>
          <w:highlight w:val="none"/>
        </w:rPr>
        <w:t xml:space="preserve">  </w:t>
      </w:r>
      <w:r>
        <w:rPr>
          <w:rFonts w:hAnsi="宋体"/>
          <w:bCs/>
          <w:color w:val="auto"/>
          <w:sz w:val="32"/>
          <w:szCs w:val="32"/>
          <w:highlight w:val="none"/>
        </w:rPr>
        <w:t>磋商须知</w:t>
      </w:r>
    </w:p>
    <w:p w14:paraId="36263B07">
      <w:pPr>
        <w:tabs>
          <w:tab w:val="left" w:pos="7740"/>
        </w:tabs>
        <w:spacing w:line="360" w:lineRule="auto"/>
        <w:rPr>
          <w:bCs/>
          <w:color w:val="auto"/>
          <w:sz w:val="32"/>
          <w:szCs w:val="32"/>
          <w:highlight w:val="none"/>
        </w:rPr>
      </w:pPr>
      <w:r>
        <w:rPr>
          <w:rFonts w:hAnsi="宋体"/>
          <w:bCs/>
          <w:color w:val="auto"/>
          <w:sz w:val="32"/>
          <w:szCs w:val="32"/>
          <w:highlight w:val="none"/>
        </w:rPr>
        <w:t>第三部分</w:t>
      </w:r>
      <w:r>
        <w:rPr>
          <w:bCs/>
          <w:color w:val="auto"/>
          <w:sz w:val="32"/>
          <w:szCs w:val="32"/>
          <w:highlight w:val="none"/>
        </w:rPr>
        <w:t xml:space="preserve">  </w:t>
      </w:r>
      <w:r>
        <w:rPr>
          <w:rFonts w:hAnsi="宋体"/>
          <w:bCs/>
          <w:color w:val="auto"/>
          <w:sz w:val="32"/>
          <w:szCs w:val="32"/>
          <w:highlight w:val="none"/>
        </w:rPr>
        <w:t>项目需求说明</w:t>
      </w:r>
    </w:p>
    <w:p w14:paraId="61F06D1A">
      <w:pPr>
        <w:tabs>
          <w:tab w:val="left" w:pos="7740"/>
        </w:tabs>
        <w:spacing w:line="360" w:lineRule="auto"/>
        <w:rPr>
          <w:bCs/>
          <w:color w:val="auto"/>
          <w:sz w:val="32"/>
          <w:szCs w:val="32"/>
          <w:highlight w:val="none"/>
        </w:rPr>
      </w:pPr>
      <w:r>
        <w:rPr>
          <w:rFonts w:hAnsi="宋体"/>
          <w:bCs/>
          <w:color w:val="auto"/>
          <w:sz w:val="32"/>
          <w:szCs w:val="32"/>
          <w:highlight w:val="none"/>
        </w:rPr>
        <w:t>第四部分</w:t>
      </w:r>
      <w:r>
        <w:rPr>
          <w:bCs/>
          <w:color w:val="auto"/>
          <w:sz w:val="32"/>
          <w:szCs w:val="32"/>
          <w:highlight w:val="none"/>
        </w:rPr>
        <w:t xml:space="preserve">  </w:t>
      </w:r>
      <w:r>
        <w:rPr>
          <w:rFonts w:hAnsi="宋体"/>
          <w:bCs/>
          <w:color w:val="auto"/>
          <w:sz w:val="32"/>
          <w:szCs w:val="32"/>
          <w:highlight w:val="none"/>
        </w:rPr>
        <w:t>磋商程序和内容</w:t>
      </w:r>
    </w:p>
    <w:p w14:paraId="5EC59F95">
      <w:pPr>
        <w:tabs>
          <w:tab w:val="left" w:pos="7740"/>
        </w:tabs>
        <w:spacing w:line="360" w:lineRule="auto"/>
        <w:rPr>
          <w:bCs/>
          <w:color w:val="auto"/>
          <w:sz w:val="32"/>
          <w:szCs w:val="32"/>
          <w:highlight w:val="none"/>
        </w:rPr>
      </w:pPr>
      <w:r>
        <w:rPr>
          <w:rFonts w:hAnsi="宋体"/>
          <w:bCs/>
          <w:color w:val="auto"/>
          <w:sz w:val="32"/>
          <w:szCs w:val="32"/>
          <w:highlight w:val="none"/>
        </w:rPr>
        <w:t>第五部分</w:t>
      </w:r>
      <w:r>
        <w:rPr>
          <w:bCs/>
          <w:color w:val="auto"/>
          <w:sz w:val="32"/>
          <w:szCs w:val="32"/>
          <w:highlight w:val="none"/>
        </w:rPr>
        <w:t xml:space="preserve">  </w:t>
      </w:r>
      <w:r>
        <w:rPr>
          <w:rFonts w:hAnsi="宋体"/>
          <w:bCs/>
          <w:color w:val="auto"/>
          <w:sz w:val="32"/>
          <w:szCs w:val="32"/>
          <w:highlight w:val="none"/>
        </w:rPr>
        <w:t>合同及履约保证</w:t>
      </w:r>
    </w:p>
    <w:p w14:paraId="7DB5330D">
      <w:pPr>
        <w:tabs>
          <w:tab w:val="left" w:pos="7740"/>
        </w:tabs>
        <w:spacing w:line="360" w:lineRule="auto"/>
        <w:rPr>
          <w:bCs/>
          <w:color w:val="auto"/>
          <w:sz w:val="32"/>
          <w:szCs w:val="32"/>
          <w:highlight w:val="none"/>
        </w:rPr>
      </w:pPr>
      <w:r>
        <w:rPr>
          <w:rFonts w:hAnsi="宋体"/>
          <w:bCs/>
          <w:color w:val="auto"/>
          <w:sz w:val="32"/>
          <w:szCs w:val="32"/>
          <w:highlight w:val="none"/>
        </w:rPr>
        <w:t>第六部分</w:t>
      </w:r>
      <w:r>
        <w:rPr>
          <w:bCs/>
          <w:color w:val="auto"/>
          <w:sz w:val="32"/>
          <w:szCs w:val="32"/>
          <w:highlight w:val="none"/>
        </w:rPr>
        <w:t xml:space="preserve">  </w:t>
      </w:r>
      <w:r>
        <w:rPr>
          <w:rFonts w:hAnsi="宋体"/>
          <w:bCs/>
          <w:color w:val="auto"/>
          <w:sz w:val="32"/>
          <w:szCs w:val="32"/>
          <w:highlight w:val="none"/>
        </w:rPr>
        <w:t>质疑提出和处理</w:t>
      </w:r>
    </w:p>
    <w:p w14:paraId="422B0BCD">
      <w:pPr>
        <w:tabs>
          <w:tab w:val="left" w:pos="7740"/>
        </w:tabs>
        <w:spacing w:line="360" w:lineRule="auto"/>
        <w:rPr>
          <w:bCs/>
          <w:color w:val="auto"/>
          <w:sz w:val="32"/>
          <w:szCs w:val="32"/>
          <w:highlight w:val="none"/>
        </w:rPr>
      </w:pPr>
      <w:r>
        <w:rPr>
          <w:rFonts w:hAnsi="宋体"/>
          <w:bCs/>
          <w:color w:val="auto"/>
          <w:sz w:val="32"/>
          <w:szCs w:val="32"/>
          <w:highlight w:val="none"/>
        </w:rPr>
        <w:t>第七部分</w:t>
      </w:r>
      <w:r>
        <w:rPr>
          <w:bCs/>
          <w:color w:val="auto"/>
          <w:sz w:val="32"/>
          <w:szCs w:val="32"/>
          <w:highlight w:val="none"/>
        </w:rPr>
        <w:t xml:space="preserve">  </w:t>
      </w:r>
      <w:r>
        <w:rPr>
          <w:rFonts w:hAnsi="宋体"/>
          <w:bCs/>
          <w:color w:val="auto"/>
          <w:sz w:val="32"/>
          <w:szCs w:val="32"/>
          <w:highlight w:val="none"/>
        </w:rPr>
        <w:t>响应文件组成</w:t>
      </w:r>
    </w:p>
    <w:p w14:paraId="0FEF43A7">
      <w:pPr>
        <w:tabs>
          <w:tab w:val="left" w:pos="7740"/>
        </w:tabs>
        <w:spacing w:line="500" w:lineRule="exact"/>
        <w:rPr>
          <w:rFonts w:eastAsia="楷体_GB2312"/>
          <w:b/>
          <w:color w:val="auto"/>
          <w:spacing w:val="2"/>
          <w:sz w:val="32"/>
          <w:szCs w:val="32"/>
          <w:highlight w:val="none"/>
        </w:rPr>
      </w:pPr>
    </w:p>
    <w:p w14:paraId="74D0417E">
      <w:pPr>
        <w:spacing w:line="500" w:lineRule="exact"/>
        <w:rPr>
          <w:color w:val="auto"/>
          <w:sz w:val="32"/>
          <w:szCs w:val="32"/>
          <w:highlight w:val="none"/>
        </w:rPr>
      </w:pPr>
    </w:p>
    <w:p w14:paraId="6587D894">
      <w:pPr>
        <w:adjustRightInd w:val="0"/>
        <w:snapToGrid w:val="0"/>
        <w:ind w:left="-158" w:leftChars="-75" w:right="-601" w:rightChars="-286"/>
        <w:rPr>
          <w:rFonts w:eastAsia="仿宋_GB2312"/>
          <w:b/>
          <w:color w:val="auto"/>
          <w:sz w:val="48"/>
          <w:szCs w:val="48"/>
          <w:highlight w:val="none"/>
        </w:rPr>
      </w:pPr>
    </w:p>
    <w:p w14:paraId="6EBFE391">
      <w:pPr>
        <w:jc w:val="center"/>
        <w:rPr>
          <w:b/>
          <w:color w:val="auto"/>
          <w:sz w:val="36"/>
          <w:szCs w:val="36"/>
          <w:highlight w:val="none"/>
        </w:rPr>
        <w:sectPr>
          <w:footerReference r:id="rId3" w:type="default"/>
          <w:pgSz w:w="11906" w:h="16838"/>
          <w:pgMar w:top="1440" w:right="1700" w:bottom="1440" w:left="1800" w:header="851" w:footer="992" w:gutter="0"/>
          <w:cols w:space="720" w:num="1"/>
          <w:docGrid w:type="lines" w:linePitch="312" w:charSpace="0"/>
        </w:sectPr>
      </w:pPr>
    </w:p>
    <w:p w14:paraId="7499DC55">
      <w:pPr>
        <w:jc w:val="center"/>
        <w:outlineLvl w:val="0"/>
        <w:rPr>
          <w:b/>
          <w:color w:val="auto"/>
          <w:sz w:val="36"/>
          <w:szCs w:val="36"/>
          <w:highlight w:val="none"/>
        </w:rPr>
      </w:pPr>
      <w:r>
        <w:rPr>
          <w:rFonts w:hAnsi="宋体"/>
          <w:b/>
          <w:color w:val="auto"/>
          <w:sz w:val="36"/>
          <w:szCs w:val="36"/>
          <w:highlight w:val="none"/>
        </w:rPr>
        <w:t>第一部分</w:t>
      </w:r>
      <w:r>
        <w:rPr>
          <w:b/>
          <w:color w:val="auto"/>
          <w:sz w:val="36"/>
          <w:szCs w:val="36"/>
          <w:highlight w:val="none"/>
        </w:rPr>
        <w:t xml:space="preserve"> </w:t>
      </w:r>
      <w:r>
        <w:rPr>
          <w:rFonts w:hAnsi="宋体"/>
          <w:b/>
          <w:color w:val="auto"/>
          <w:sz w:val="36"/>
          <w:szCs w:val="36"/>
          <w:highlight w:val="none"/>
        </w:rPr>
        <w:t>竞争性磋商公告</w:t>
      </w:r>
    </w:p>
    <w:p w14:paraId="448D10A1">
      <w:pPr>
        <w:snapToGrid w:val="0"/>
        <w:spacing w:line="360" w:lineRule="auto"/>
        <w:ind w:firstLine="480" w:firstLineChars="200"/>
        <w:jc w:val="left"/>
        <w:rPr>
          <w:color w:val="auto"/>
          <w:sz w:val="24"/>
          <w:highlight w:val="none"/>
          <w:lang w:val="zh-CN"/>
        </w:rPr>
      </w:pPr>
      <w:bookmarkStart w:id="0" w:name="_Toc12939"/>
      <w:bookmarkStart w:id="1" w:name="_Toc387526272"/>
      <w:bookmarkStart w:id="2" w:name="_Toc387526168"/>
      <w:bookmarkStart w:id="3" w:name="_Toc387526364"/>
      <w:bookmarkStart w:id="4" w:name="OLE_LINK4"/>
      <w:bookmarkStart w:id="5" w:name="OLE_LINK3"/>
      <w:bookmarkStart w:id="6" w:name="OLE_LINK1"/>
      <w:r>
        <w:rPr>
          <w:rFonts w:hint="eastAsia"/>
          <w:color w:val="auto"/>
          <w:sz w:val="24"/>
          <w:highlight w:val="none"/>
          <w:lang w:val="zh-CN"/>
        </w:rPr>
        <w:t>江苏澄建正达工程项目管理有限公司</w:t>
      </w:r>
      <w:r>
        <w:rPr>
          <w:color w:val="auto"/>
          <w:sz w:val="24"/>
          <w:highlight w:val="none"/>
          <w:lang w:val="zh-CN"/>
        </w:rPr>
        <w:t>受南通市生态环境局</w:t>
      </w:r>
      <w:r>
        <w:rPr>
          <w:rFonts w:hint="eastAsia"/>
          <w:color w:val="auto"/>
          <w:sz w:val="24"/>
          <w:highlight w:val="none"/>
          <w:lang w:val="zh-CN"/>
        </w:rPr>
        <w:t>（</w:t>
      </w:r>
      <w:r>
        <w:rPr>
          <w:color w:val="auto"/>
          <w:sz w:val="24"/>
          <w:highlight w:val="none"/>
          <w:lang w:val="zh-CN"/>
        </w:rPr>
        <w:t>下称采购人</w:t>
      </w:r>
      <w:r>
        <w:rPr>
          <w:rFonts w:hint="eastAsia"/>
          <w:color w:val="auto"/>
          <w:sz w:val="24"/>
          <w:highlight w:val="none"/>
          <w:lang w:val="zh-CN"/>
        </w:rPr>
        <w:t>）</w:t>
      </w:r>
      <w:r>
        <w:rPr>
          <w:color w:val="auto"/>
          <w:sz w:val="24"/>
          <w:highlight w:val="none"/>
          <w:lang w:val="zh-CN"/>
        </w:rPr>
        <w:t>委托，就</w:t>
      </w:r>
      <w:r>
        <w:rPr>
          <w:rFonts w:hint="eastAsia"/>
          <w:color w:val="auto"/>
          <w:sz w:val="24"/>
          <w:highlight w:val="none"/>
          <w:lang w:val="zh-CN" w:eastAsia="zh-CN"/>
        </w:rPr>
        <w:t>2026年环评文件抽查技术复核及环境影响报告表技术审查项目</w:t>
      </w:r>
      <w:r>
        <w:rPr>
          <w:color w:val="auto"/>
          <w:sz w:val="24"/>
          <w:highlight w:val="none"/>
          <w:lang w:val="zh-CN"/>
        </w:rPr>
        <w:t>实施竞争性磋商方式组织采购，现公告如下：</w:t>
      </w:r>
    </w:p>
    <w:p w14:paraId="746F61D4">
      <w:pPr>
        <w:spacing w:line="360" w:lineRule="auto"/>
        <w:ind w:firstLine="480" w:firstLineChars="200"/>
        <w:jc w:val="left"/>
        <w:rPr>
          <w:color w:val="auto"/>
          <w:sz w:val="24"/>
          <w:highlight w:val="none"/>
        </w:rPr>
      </w:pPr>
      <w:r>
        <w:rPr>
          <w:color w:val="auto"/>
          <w:sz w:val="24"/>
          <w:highlight w:val="none"/>
        </w:rPr>
        <w:t>一、项目基本情况</w:t>
      </w:r>
    </w:p>
    <w:p w14:paraId="1771BA17">
      <w:pPr>
        <w:spacing w:line="360" w:lineRule="auto"/>
        <w:ind w:firstLine="480" w:firstLineChars="200"/>
        <w:jc w:val="left"/>
        <w:rPr>
          <w:rFonts w:hint="default"/>
          <w:color w:val="auto"/>
          <w:sz w:val="24"/>
          <w:highlight w:val="none"/>
          <w:lang w:val="en-US"/>
        </w:rPr>
      </w:pPr>
      <w:r>
        <w:rPr>
          <w:color w:val="auto"/>
          <w:sz w:val="24"/>
          <w:highlight w:val="none"/>
        </w:rPr>
        <w:t>1、项目编号：</w:t>
      </w:r>
      <w:r>
        <w:rPr>
          <w:rFonts w:hint="eastAsia"/>
          <w:color w:val="auto"/>
          <w:sz w:val="24"/>
          <w:highlight w:val="none"/>
          <w:lang w:val="en-US" w:eastAsia="zh-CN"/>
        </w:rPr>
        <w:t>CJZD-CS2026-008</w:t>
      </w:r>
    </w:p>
    <w:p w14:paraId="49E4562F">
      <w:pPr>
        <w:spacing w:line="360" w:lineRule="auto"/>
        <w:ind w:firstLine="480" w:firstLineChars="200"/>
        <w:jc w:val="left"/>
        <w:rPr>
          <w:color w:val="auto"/>
          <w:sz w:val="24"/>
          <w:highlight w:val="none"/>
        </w:rPr>
      </w:pPr>
      <w:r>
        <w:rPr>
          <w:color w:val="auto"/>
          <w:sz w:val="24"/>
          <w:highlight w:val="none"/>
        </w:rPr>
        <w:t>2、项目名称：</w:t>
      </w:r>
      <w:r>
        <w:rPr>
          <w:rFonts w:hint="eastAsia"/>
          <w:color w:val="auto"/>
          <w:sz w:val="24"/>
          <w:highlight w:val="none"/>
          <w:lang w:val="en-US" w:eastAsia="zh-CN"/>
        </w:rPr>
        <w:t>2026年环评文件抽查技术复核及环境影响报告表技术审查项目</w:t>
      </w:r>
    </w:p>
    <w:p w14:paraId="09784C50">
      <w:pPr>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3、</w:t>
      </w:r>
      <w:r>
        <w:rPr>
          <w:rFonts w:hint="eastAsia" w:ascii="Times New Roman" w:hAnsi="Times New Roman"/>
          <w:color w:val="auto"/>
          <w:sz w:val="24"/>
          <w:szCs w:val="24"/>
          <w:highlight w:val="none"/>
        </w:rPr>
        <w:t>项目类型：服务</w:t>
      </w:r>
    </w:p>
    <w:p w14:paraId="710BEB94">
      <w:pPr>
        <w:spacing w:line="360" w:lineRule="auto"/>
        <w:ind w:firstLine="480"/>
        <w:rPr>
          <w:color w:val="auto"/>
          <w:highlight w:val="none"/>
        </w:rPr>
      </w:pPr>
      <w:r>
        <w:rPr>
          <w:rFonts w:hint="eastAsia" w:ascii="Times New Roman" w:hAnsi="Times New Roman"/>
          <w:color w:val="auto"/>
          <w:sz w:val="24"/>
          <w:szCs w:val="24"/>
          <w:highlight w:val="none"/>
        </w:rPr>
        <w:t>4</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所属行业：其他未列明行业（</w:t>
      </w:r>
      <w:r>
        <w:rPr>
          <w:rFonts w:hint="eastAsia" w:ascii="Times New Roman" w:hAnsi="Times New Roman"/>
          <w:color w:val="auto"/>
          <w:sz w:val="24"/>
          <w:szCs w:val="24"/>
          <w:highlight w:val="none"/>
          <w:lang w:val="en-US" w:eastAsia="zh-CN"/>
        </w:rPr>
        <w:t>咨询</w:t>
      </w:r>
      <w:r>
        <w:rPr>
          <w:rFonts w:hint="eastAsia" w:ascii="Times New Roman" w:hAnsi="Times New Roman"/>
          <w:color w:val="auto"/>
          <w:sz w:val="24"/>
          <w:szCs w:val="24"/>
          <w:highlight w:val="none"/>
        </w:rPr>
        <w:t>服务）</w:t>
      </w:r>
    </w:p>
    <w:p w14:paraId="54C4333C">
      <w:pPr>
        <w:spacing w:line="360" w:lineRule="auto"/>
        <w:ind w:firstLine="480" w:firstLineChars="200"/>
        <w:jc w:val="left"/>
        <w:rPr>
          <w:color w:val="auto"/>
          <w:sz w:val="24"/>
          <w:highlight w:val="none"/>
        </w:rPr>
      </w:pPr>
      <w:r>
        <w:rPr>
          <w:rFonts w:hint="eastAsia"/>
          <w:color w:val="auto"/>
          <w:sz w:val="24"/>
          <w:highlight w:val="none"/>
          <w:lang w:val="en-US" w:eastAsia="zh-CN"/>
        </w:rPr>
        <w:t>5</w:t>
      </w:r>
      <w:r>
        <w:rPr>
          <w:color w:val="auto"/>
          <w:sz w:val="24"/>
          <w:highlight w:val="none"/>
        </w:rPr>
        <w:t>、采购方式：竞争性磋商</w:t>
      </w:r>
    </w:p>
    <w:p w14:paraId="138695E6">
      <w:pPr>
        <w:spacing w:line="360" w:lineRule="auto"/>
        <w:ind w:firstLine="480" w:firstLineChars="200"/>
        <w:jc w:val="left"/>
        <w:rPr>
          <w:color w:val="auto"/>
          <w:sz w:val="24"/>
          <w:highlight w:val="none"/>
        </w:rPr>
      </w:pPr>
      <w:r>
        <w:rPr>
          <w:rFonts w:hint="eastAsia"/>
          <w:color w:val="auto"/>
          <w:sz w:val="24"/>
          <w:highlight w:val="none"/>
          <w:lang w:val="en-US" w:eastAsia="zh-CN"/>
        </w:rPr>
        <w:t>6</w:t>
      </w:r>
      <w:r>
        <w:rPr>
          <w:color w:val="auto"/>
          <w:sz w:val="24"/>
          <w:highlight w:val="none"/>
        </w:rPr>
        <w:t>、预算金额：</w:t>
      </w:r>
      <w:r>
        <w:rPr>
          <w:rFonts w:hint="eastAsia"/>
          <w:color w:val="auto"/>
          <w:sz w:val="24"/>
          <w:highlight w:val="none"/>
          <w:lang w:val="en-US" w:eastAsia="zh-CN"/>
        </w:rPr>
        <w:t>25</w:t>
      </w:r>
      <w:r>
        <w:rPr>
          <w:color w:val="auto"/>
          <w:sz w:val="24"/>
          <w:highlight w:val="none"/>
        </w:rPr>
        <w:t>万元人民币</w:t>
      </w:r>
      <w:bookmarkEnd w:id="0"/>
      <w:bookmarkEnd w:id="1"/>
      <w:bookmarkEnd w:id="2"/>
      <w:bookmarkEnd w:id="3"/>
      <w:bookmarkStart w:id="7" w:name="_Toc387526273"/>
      <w:bookmarkStart w:id="8" w:name="_Toc20597"/>
      <w:bookmarkStart w:id="9" w:name="_Toc387526365"/>
      <w:bookmarkStart w:id="10" w:name="_Toc387526169"/>
      <w:r>
        <w:rPr>
          <w:color w:val="auto"/>
          <w:sz w:val="24"/>
          <w:highlight w:val="none"/>
        </w:rPr>
        <w:t>，</w:t>
      </w:r>
    </w:p>
    <w:p w14:paraId="5B07AAF9">
      <w:pPr>
        <w:spacing w:line="360" w:lineRule="auto"/>
        <w:ind w:firstLine="480" w:firstLineChars="200"/>
        <w:jc w:val="left"/>
        <w:rPr>
          <w:color w:val="auto"/>
          <w:sz w:val="24"/>
          <w:highlight w:val="none"/>
        </w:rPr>
      </w:pPr>
      <w:r>
        <w:rPr>
          <w:rFonts w:hint="eastAsia"/>
          <w:color w:val="auto"/>
          <w:sz w:val="24"/>
          <w:highlight w:val="none"/>
          <w:lang w:val="en-US" w:eastAsia="zh-CN"/>
        </w:rPr>
        <w:t>7、最高限价：①技术复核部分：15万元，总价包干；②报告表技术评估部分：10万元；单价最高限价4000元/本，全年预估25本，最终以实际发生量为准，投标报价高于对应的最高限价的作无效标处理。</w:t>
      </w:r>
    </w:p>
    <w:p w14:paraId="0DC01AFF">
      <w:pPr>
        <w:spacing w:line="360" w:lineRule="auto"/>
        <w:ind w:firstLine="480" w:firstLineChars="200"/>
        <w:jc w:val="left"/>
        <w:rPr>
          <w:color w:val="auto"/>
          <w:sz w:val="24"/>
          <w:highlight w:val="none"/>
        </w:rPr>
      </w:pPr>
      <w:r>
        <w:rPr>
          <w:rFonts w:hint="eastAsia"/>
          <w:color w:val="auto"/>
          <w:sz w:val="24"/>
          <w:highlight w:val="none"/>
          <w:lang w:val="en-US" w:eastAsia="zh-CN"/>
        </w:rPr>
        <w:t>8</w:t>
      </w:r>
      <w:r>
        <w:rPr>
          <w:color w:val="auto"/>
          <w:sz w:val="24"/>
          <w:highlight w:val="none"/>
        </w:rPr>
        <w:t>、采购需求：</w:t>
      </w:r>
      <w:r>
        <w:rPr>
          <w:rFonts w:hint="eastAsia"/>
          <w:color w:val="auto"/>
          <w:sz w:val="24"/>
          <w:highlight w:val="none"/>
          <w:lang w:val="en-US" w:eastAsia="zh-CN"/>
        </w:rPr>
        <w:t>①对全市环评审批部门负责审批的建设项目、规划环境影响评价文件开展技术复核，为管理部门对环评单位、评估单位考核，企业监督管理提供技术支撑；②对南通市生态环境局审批的建设项目环境影响评价报告表编制质量做技术评估。</w:t>
      </w:r>
    </w:p>
    <w:p w14:paraId="226AFA25">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9</w:t>
      </w:r>
      <w:r>
        <w:rPr>
          <w:color w:val="auto"/>
          <w:sz w:val="24"/>
          <w:highlight w:val="none"/>
        </w:rPr>
        <w:t>、合同履行期限：</w:t>
      </w:r>
      <w:r>
        <w:rPr>
          <w:rFonts w:hint="eastAsia"/>
          <w:color w:val="auto"/>
          <w:sz w:val="24"/>
          <w:highlight w:val="none"/>
          <w:lang w:val="en-US" w:eastAsia="zh-CN"/>
        </w:rPr>
        <w:t>自合同签订之日起一年。</w:t>
      </w:r>
    </w:p>
    <w:p w14:paraId="2DD43D25">
      <w:pPr>
        <w:adjustRightInd w:val="0"/>
        <w:snapToGrid w:val="0"/>
        <w:spacing w:line="360" w:lineRule="auto"/>
        <w:ind w:firstLine="480" w:firstLineChars="200"/>
        <w:jc w:val="left"/>
        <w:textAlignment w:val="baseline"/>
        <w:rPr>
          <w:rFonts w:hint="default"/>
          <w:color w:val="auto"/>
          <w:sz w:val="24"/>
          <w:highlight w:val="none"/>
          <w:lang w:val="en-US" w:eastAsia="zh-CN"/>
        </w:rPr>
      </w:pPr>
      <w:r>
        <w:rPr>
          <w:rFonts w:hint="eastAsia"/>
          <w:color w:val="auto"/>
          <w:sz w:val="24"/>
          <w:highlight w:val="none"/>
          <w:lang w:val="en-US" w:eastAsia="zh-CN"/>
        </w:rPr>
        <w:t>10、</w:t>
      </w:r>
      <w:r>
        <w:rPr>
          <w:rFonts w:hint="eastAsia" w:ascii="宋体" w:hAnsi="宋体" w:cs="宋体"/>
          <w:color w:val="auto"/>
          <w:sz w:val="24"/>
          <w:szCs w:val="24"/>
          <w:highlight w:val="none"/>
        </w:rPr>
        <w:t>本项目是否专门面向中小企业：</w:t>
      </w:r>
      <w:r>
        <w:rPr>
          <w:rFonts w:hint="eastAsia" w:ascii="宋体" w:hAnsi="宋体" w:cs="宋体"/>
          <w:color w:val="auto"/>
          <w:sz w:val="24"/>
          <w:szCs w:val="24"/>
          <w:highlight w:val="none"/>
          <w:lang w:val="en-US" w:eastAsia="zh-CN"/>
        </w:rPr>
        <w:t>否</w:t>
      </w:r>
      <w:r>
        <w:rPr>
          <w:rFonts w:hint="eastAsia" w:ascii="宋体" w:hAnsi="宋体" w:cs="宋体"/>
          <w:color w:val="auto"/>
          <w:sz w:val="24"/>
          <w:szCs w:val="24"/>
          <w:highlight w:val="none"/>
        </w:rPr>
        <w:t>；</w:t>
      </w:r>
    </w:p>
    <w:p w14:paraId="70377383">
      <w:pPr>
        <w:spacing w:line="360" w:lineRule="auto"/>
        <w:ind w:firstLine="480" w:firstLineChars="200"/>
        <w:jc w:val="left"/>
        <w:rPr>
          <w:color w:val="auto"/>
          <w:sz w:val="24"/>
          <w:highlight w:val="none"/>
        </w:rPr>
      </w:pPr>
      <w:r>
        <w:rPr>
          <w:rFonts w:hint="eastAsia"/>
          <w:color w:val="auto"/>
          <w:sz w:val="24"/>
          <w:highlight w:val="none"/>
          <w:lang w:val="en-US" w:eastAsia="zh-CN"/>
        </w:rPr>
        <w:t>11</w:t>
      </w:r>
      <w:r>
        <w:rPr>
          <w:color w:val="auto"/>
          <w:sz w:val="24"/>
          <w:highlight w:val="none"/>
        </w:rPr>
        <w:t>、本项目不接受联合体。</w:t>
      </w:r>
    </w:p>
    <w:bookmarkEnd w:id="7"/>
    <w:bookmarkEnd w:id="8"/>
    <w:bookmarkEnd w:id="9"/>
    <w:bookmarkEnd w:id="10"/>
    <w:p w14:paraId="0FF5904F">
      <w:pPr>
        <w:spacing w:line="360" w:lineRule="auto"/>
        <w:ind w:firstLine="480" w:firstLineChars="200"/>
        <w:jc w:val="left"/>
        <w:rPr>
          <w:color w:val="auto"/>
          <w:sz w:val="24"/>
          <w:highlight w:val="none"/>
        </w:rPr>
      </w:pPr>
      <w:r>
        <w:rPr>
          <w:color w:val="auto"/>
          <w:sz w:val="24"/>
          <w:highlight w:val="none"/>
        </w:rPr>
        <w:t>二、申请人的资格要求：</w:t>
      </w:r>
    </w:p>
    <w:p w14:paraId="350F4C1D">
      <w:pPr>
        <w:spacing w:line="360" w:lineRule="auto"/>
        <w:ind w:firstLine="480" w:firstLineChars="200"/>
        <w:jc w:val="left"/>
        <w:rPr>
          <w:color w:val="auto"/>
          <w:sz w:val="24"/>
          <w:highlight w:val="none"/>
        </w:rPr>
      </w:pPr>
      <w:r>
        <w:rPr>
          <w:color w:val="auto"/>
          <w:sz w:val="24"/>
          <w:highlight w:val="none"/>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1FDC605D">
      <w:pPr>
        <w:spacing w:line="360" w:lineRule="auto"/>
        <w:ind w:firstLine="480" w:firstLineChars="200"/>
        <w:jc w:val="left"/>
        <w:rPr>
          <w:color w:val="auto"/>
          <w:sz w:val="24"/>
          <w:highlight w:val="none"/>
        </w:rPr>
      </w:pPr>
      <w:r>
        <w:rPr>
          <w:color w:val="auto"/>
          <w:sz w:val="24"/>
          <w:highlight w:val="none"/>
        </w:rPr>
        <w:t>2、</w:t>
      </w:r>
      <w:r>
        <w:rPr>
          <w:b/>
          <w:bCs/>
          <w:color w:val="auto"/>
          <w:sz w:val="24"/>
          <w:highlight w:val="none"/>
        </w:rPr>
        <w:t>本项目的特定资格要求：</w:t>
      </w:r>
      <w:r>
        <w:rPr>
          <w:rFonts w:hint="eastAsia"/>
          <w:color w:val="auto"/>
          <w:sz w:val="24"/>
          <w:highlight w:val="none"/>
          <w:lang w:val="en-US" w:eastAsia="zh-CN"/>
        </w:rPr>
        <w:t>从事环境影响评价（含建设项目环评、规划环评）编制的单位和2025年-2026年期间从事南通市各县（市、区）环评报告技术评估工作的单位不得参与本项目投标。</w:t>
      </w:r>
    </w:p>
    <w:p w14:paraId="1839A5BB">
      <w:pPr>
        <w:spacing w:line="360" w:lineRule="auto"/>
        <w:ind w:firstLine="480" w:firstLineChars="200"/>
        <w:jc w:val="left"/>
        <w:rPr>
          <w:color w:val="auto"/>
          <w:sz w:val="24"/>
          <w:highlight w:val="none"/>
        </w:rPr>
      </w:pPr>
      <w:r>
        <w:rPr>
          <w:rFonts w:hint="eastAsia"/>
          <w:color w:val="auto"/>
          <w:sz w:val="24"/>
          <w:highlight w:val="none"/>
          <w:lang w:val="en-US" w:eastAsia="zh-CN"/>
        </w:rPr>
        <w:t>3、其他资格要求：</w:t>
      </w: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color w:val="auto"/>
          <w:sz w:val="24"/>
          <w:highlight w:val="none"/>
        </w:rPr>
        <w:t>未被“信用中国”网站列入失信被执行人、重大税收违法案件当事人名单、政府采购严重违法失信行为记录名单。</w:t>
      </w:r>
    </w:p>
    <w:p w14:paraId="4C193CC7">
      <w:pPr>
        <w:widowControl/>
        <w:snapToGrid w:val="0"/>
        <w:spacing w:line="360" w:lineRule="auto"/>
        <w:ind w:firstLine="480" w:firstLineChars="200"/>
        <w:jc w:val="left"/>
        <w:rPr>
          <w:rFonts w:hint="eastAsia" w:ascii="宋体" w:hAnsi="宋体" w:cs="Arial"/>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ascii="宋体" w:hAnsi="宋体" w:cs="Arial"/>
          <w:color w:val="auto"/>
          <w:sz w:val="24"/>
          <w:highlight w:val="none"/>
        </w:rPr>
        <w:t>不接受单位</w:t>
      </w:r>
      <w:r>
        <w:rPr>
          <w:rFonts w:hint="eastAsia"/>
          <w:color w:val="auto"/>
          <w:sz w:val="24"/>
          <w:highlight w:val="none"/>
        </w:rPr>
        <w:t>负责人</w:t>
      </w:r>
      <w:r>
        <w:rPr>
          <w:rFonts w:hint="eastAsia" w:ascii="宋体" w:hAnsi="宋体" w:cs="Arial"/>
          <w:color w:val="auto"/>
          <w:sz w:val="24"/>
          <w:highlight w:val="none"/>
        </w:rPr>
        <w:t>为同一人或者存在控股、管理关系的不同单位参与同一项目投标；</w:t>
      </w:r>
      <w:r>
        <w:rPr>
          <w:color w:val="auto"/>
          <w:sz w:val="24"/>
          <w:highlight w:val="none"/>
        </w:rPr>
        <w:t>法定代表人为同一个人的两个及两个以上法人，母公司、全资子公司及其控股公司，都不得</w:t>
      </w:r>
      <w:r>
        <w:rPr>
          <w:rFonts w:hint="eastAsia" w:ascii="宋体" w:hAnsi="宋体" w:cs="Arial"/>
          <w:color w:val="auto"/>
          <w:sz w:val="24"/>
          <w:highlight w:val="none"/>
        </w:rPr>
        <w:t>在同一采购项目或同一标段中同时参加投标，一经发现，将视同围标处理。</w:t>
      </w:r>
    </w:p>
    <w:p w14:paraId="33C1D9DC">
      <w:pPr>
        <w:widowControl/>
        <w:snapToGrid w:val="0"/>
        <w:spacing w:line="360" w:lineRule="auto"/>
        <w:ind w:firstLine="480" w:firstLineChars="200"/>
        <w:jc w:val="left"/>
        <w:rPr>
          <w:rFonts w:hint="eastAsia" w:ascii="宋体" w:hAnsi="宋体" w:cs="Arial"/>
          <w:color w:val="auto"/>
          <w:sz w:val="24"/>
          <w:highlight w:val="none"/>
        </w:rPr>
      </w:pPr>
      <w:r>
        <w:rPr>
          <w:rFonts w:hint="eastAsia" w:ascii="宋体" w:hAnsi="宋体" w:cs="Arial"/>
          <w:color w:val="auto"/>
          <w:sz w:val="24"/>
          <w:highlight w:val="none"/>
          <w:lang w:eastAsia="zh-CN"/>
        </w:rPr>
        <w:t>（</w:t>
      </w:r>
      <w:r>
        <w:rPr>
          <w:rFonts w:hint="eastAsia" w:ascii="宋体" w:hAnsi="宋体" w:cs="Arial"/>
          <w:color w:val="auto"/>
          <w:sz w:val="24"/>
          <w:highlight w:val="none"/>
          <w:lang w:val="en-US" w:eastAsia="zh-CN"/>
        </w:rPr>
        <w:t>3</w:t>
      </w:r>
      <w:r>
        <w:rPr>
          <w:rFonts w:hint="eastAsia" w:ascii="宋体" w:hAnsi="宋体" w:cs="Arial"/>
          <w:color w:val="auto"/>
          <w:sz w:val="24"/>
          <w:highlight w:val="none"/>
          <w:lang w:eastAsia="zh-CN"/>
        </w:rPr>
        <w:t>）</w:t>
      </w:r>
      <w:r>
        <w:rPr>
          <w:rFonts w:hint="eastAsia" w:ascii="宋体" w:hAnsi="宋体" w:cs="Arial"/>
          <w:color w:val="auto"/>
          <w:sz w:val="24"/>
          <w:highlight w:val="none"/>
        </w:rPr>
        <w:t>成交供应商不得将本项目</w:t>
      </w:r>
      <w:r>
        <w:rPr>
          <w:rFonts w:hint="eastAsia" w:ascii="宋体" w:hAnsi="宋体" w:cs="Arial"/>
          <w:color w:val="auto"/>
          <w:sz w:val="24"/>
          <w:highlight w:val="none"/>
          <w:lang w:eastAsia="zh-CN"/>
        </w:rPr>
        <w:t>转</w:t>
      </w:r>
      <w:r>
        <w:rPr>
          <w:rFonts w:hint="eastAsia" w:ascii="宋体" w:hAnsi="宋体" w:cs="Arial"/>
          <w:color w:val="auto"/>
          <w:sz w:val="24"/>
          <w:highlight w:val="none"/>
        </w:rPr>
        <w:t>包或者转让给其他主体实施。</w:t>
      </w:r>
    </w:p>
    <w:p w14:paraId="107466A5">
      <w:pPr>
        <w:spacing w:line="360" w:lineRule="auto"/>
        <w:ind w:firstLine="480" w:firstLineChars="200"/>
        <w:jc w:val="left"/>
        <w:rPr>
          <w:color w:val="auto"/>
          <w:sz w:val="24"/>
          <w:highlight w:val="none"/>
        </w:rPr>
      </w:pPr>
      <w:r>
        <w:rPr>
          <w:color w:val="auto"/>
          <w:sz w:val="24"/>
          <w:highlight w:val="none"/>
        </w:rPr>
        <w:t>三、获取采购文件</w:t>
      </w:r>
    </w:p>
    <w:p w14:paraId="07B3A515">
      <w:pPr>
        <w:shd w:val="clear" w:color="auto" w:fill="FFFFFF"/>
        <w:spacing w:line="360" w:lineRule="auto"/>
        <w:ind w:firstLine="480" w:firstLineChars="200"/>
        <w:rPr>
          <w:color w:val="auto"/>
          <w:sz w:val="24"/>
          <w:highlight w:val="none"/>
        </w:rPr>
      </w:pPr>
      <w:r>
        <w:rPr>
          <w:color w:val="auto"/>
          <w:sz w:val="24"/>
          <w:highlight w:val="none"/>
        </w:rPr>
        <w:t>1、时间：</w:t>
      </w:r>
      <w:r>
        <w:rPr>
          <w:color w:val="auto"/>
          <w:kern w:val="0"/>
          <w:sz w:val="24"/>
          <w:highlight w:val="none"/>
          <w:u w:val="single"/>
        </w:rPr>
        <w:t>自本磋商公告发布之日起</w:t>
      </w:r>
      <w:r>
        <w:rPr>
          <w:color w:val="auto"/>
          <w:kern w:val="0"/>
          <w:sz w:val="24"/>
          <w:highlight w:val="none"/>
        </w:rPr>
        <w:t>。</w:t>
      </w:r>
    </w:p>
    <w:p w14:paraId="038A1028">
      <w:pPr>
        <w:spacing w:line="360" w:lineRule="auto"/>
        <w:ind w:firstLine="480"/>
        <w:rPr>
          <w:rFonts w:ascii="Times New Roman" w:hAnsi="Times New Roman"/>
          <w:bCs/>
          <w:color w:val="auto"/>
          <w:sz w:val="24"/>
          <w:szCs w:val="24"/>
          <w:highlight w:val="none"/>
        </w:rPr>
      </w:pPr>
      <w:r>
        <w:rPr>
          <w:rFonts w:hint="eastAsia" w:ascii="Times New Roman" w:hAnsi="Times New Roman"/>
          <w:color w:val="auto"/>
          <w:sz w:val="24"/>
          <w:szCs w:val="24"/>
          <w:highlight w:val="none"/>
        </w:rPr>
        <w:t>2</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地点：</w:t>
      </w:r>
      <w:r>
        <w:rPr>
          <w:rFonts w:hint="eastAsia"/>
          <w:color w:val="auto"/>
          <w:sz w:val="24"/>
          <w:highlight w:val="none"/>
        </w:rPr>
        <w:t>南通市生态环境局官网-信息公开-公告公示栏</w:t>
      </w:r>
    </w:p>
    <w:p w14:paraId="629A7A83">
      <w:pPr>
        <w:spacing w:line="360" w:lineRule="auto"/>
        <w:ind w:firstLine="480"/>
        <w:rPr>
          <w:rFonts w:ascii="Times New Roman" w:hAnsi="Times New Roman"/>
          <w:bCs/>
          <w:color w:val="auto"/>
          <w:sz w:val="24"/>
          <w:szCs w:val="24"/>
          <w:highlight w:val="none"/>
        </w:rPr>
      </w:pPr>
      <w:r>
        <w:rPr>
          <w:rFonts w:hint="eastAsia" w:ascii="Times New Roman" w:hAnsi="Times New Roman"/>
          <w:color w:val="auto"/>
          <w:sz w:val="24"/>
          <w:szCs w:val="24"/>
          <w:highlight w:val="none"/>
        </w:rPr>
        <w:t>3</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方式：自行下载</w:t>
      </w:r>
    </w:p>
    <w:p w14:paraId="7B83C994">
      <w:pPr>
        <w:spacing w:line="360" w:lineRule="auto"/>
        <w:ind w:firstLine="480" w:firstLineChars="200"/>
        <w:jc w:val="left"/>
        <w:rPr>
          <w:color w:val="auto"/>
          <w:sz w:val="24"/>
          <w:highlight w:val="none"/>
        </w:rPr>
      </w:pPr>
      <w:r>
        <w:rPr>
          <w:color w:val="auto"/>
          <w:sz w:val="24"/>
          <w:highlight w:val="none"/>
        </w:rPr>
        <w:t>四、响应文件提交</w:t>
      </w:r>
    </w:p>
    <w:p w14:paraId="49165FBF">
      <w:pPr>
        <w:widowControl/>
        <w:spacing w:line="360" w:lineRule="auto"/>
        <w:ind w:firstLine="480" w:firstLineChars="200"/>
        <w:jc w:val="left"/>
        <w:rPr>
          <w:b/>
          <w:color w:val="auto"/>
          <w:sz w:val="24"/>
          <w:highlight w:val="none"/>
          <w:u w:val="single"/>
        </w:rPr>
      </w:pPr>
      <w:r>
        <w:rPr>
          <w:color w:val="auto"/>
          <w:kern w:val="0"/>
          <w:sz w:val="24"/>
          <w:highlight w:val="none"/>
        </w:rPr>
        <w:t>1、截止时间：</w:t>
      </w:r>
      <w:r>
        <w:rPr>
          <w:rFonts w:hint="eastAsia"/>
          <w:b/>
          <w:color w:val="auto"/>
          <w:sz w:val="24"/>
          <w:highlight w:val="none"/>
          <w:u w:val="single"/>
          <w:lang w:eastAsia="zh-CN"/>
        </w:rPr>
        <w:t>202</w:t>
      </w:r>
      <w:r>
        <w:rPr>
          <w:rFonts w:hint="eastAsia"/>
          <w:b/>
          <w:color w:val="auto"/>
          <w:sz w:val="24"/>
          <w:highlight w:val="none"/>
          <w:u w:val="single"/>
          <w:lang w:val="en-US" w:eastAsia="zh-CN"/>
        </w:rPr>
        <w:t>6</w:t>
      </w:r>
      <w:r>
        <w:rPr>
          <w:rFonts w:hint="eastAsia"/>
          <w:b/>
          <w:color w:val="auto"/>
          <w:sz w:val="24"/>
          <w:highlight w:val="none"/>
          <w:u w:val="single"/>
        </w:rPr>
        <w:t>年</w:t>
      </w:r>
      <w:r>
        <w:rPr>
          <w:rFonts w:hint="eastAsia"/>
          <w:b/>
          <w:color w:val="auto"/>
          <w:sz w:val="24"/>
          <w:highlight w:val="none"/>
          <w:u w:val="single"/>
          <w:lang w:val="en-US" w:eastAsia="zh-CN"/>
        </w:rPr>
        <w:t>05</w:t>
      </w:r>
      <w:r>
        <w:rPr>
          <w:rFonts w:hint="eastAsia"/>
          <w:b/>
          <w:color w:val="auto"/>
          <w:sz w:val="24"/>
          <w:highlight w:val="none"/>
          <w:u w:val="single"/>
        </w:rPr>
        <w:t>月</w:t>
      </w:r>
      <w:r>
        <w:rPr>
          <w:rFonts w:hint="eastAsia"/>
          <w:b/>
          <w:color w:val="auto"/>
          <w:sz w:val="24"/>
          <w:highlight w:val="none"/>
          <w:u w:val="single"/>
          <w:lang w:val="en-US" w:eastAsia="zh-CN"/>
        </w:rPr>
        <w:t>11</w:t>
      </w:r>
      <w:r>
        <w:rPr>
          <w:rFonts w:hint="eastAsia"/>
          <w:b/>
          <w:color w:val="auto"/>
          <w:sz w:val="24"/>
          <w:highlight w:val="none"/>
          <w:u w:val="single"/>
        </w:rPr>
        <w:t xml:space="preserve">日 </w:t>
      </w:r>
      <w:r>
        <w:rPr>
          <w:rFonts w:hint="eastAsia"/>
          <w:b/>
          <w:color w:val="auto"/>
          <w:sz w:val="24"/>
          <w:highlight w:val="none"/>
          <w:u w:val="single"/>
          <w:lang w:val="en-US" w:eastAsia="zh-CN"/>
        </w:rPr>
        <w:t>14</w:t>
      </w:r>
      <w:r>
        <w:rPr>
          <w:rFonts w:hint="eastAsia"/>
          <w:b/>
          <w:color w:val="auto"/>
          <w:sz w:val="24"/>
          <w:highlight w:val="none"/>
          <w:u w:val="single"/>
        </w:rPr>
        <w:t xml:space="preserve"> </w:t>
      </w:r>
      <w:r>
        <w:rPr>
          <w:b/>
          <w:color w:val="auto"/>
          <w:sz w:val="24"/>
          <w:highlight w:val="none"/>
          <w:u w:val="single"/>
        </w:rPr>
        <w:t>时</w:t>
      </w:r>
      <w:r>
        <w:rPr>
          <w:rFonts w:hint="eastAsia"/>
          <w:b/>
          <w:color w:val="auto"/>
          <w:sz w:val="24"/>
          <w:highlight w:val="none"/>
          <w:u w:val="single"/>
          <w:lang w:val="en-US" w:eastAsia="zh-CN"/>
        </w:rPr>
        <w:t>30</w:t>
      </w:r>
      <w:r>
        <w:rPr>
          <w:b/>
          <w:color w:val="auto"/>
          <w:sz w:val="24"/>
          <w:highlight w:val="none"/>
          <w:u w:val="single"/>
        </w:rPr>
        <w:t>分</w:t>
      </w:r>
      <w:r>
        <w:rPr>
          <w:color w:val="auto"/>
          <w:sz w:val="24"/>
          <w:highlight w:val="none"/>
        </w:rPr>
        <w:t>；</w:t>
      </w:r>
    </w:p>
    <w:p w14:paraId="523267EA">
      <w:pPr>
        <w:widowControl/>
        <w:spacing w:line="360" w:lineRule="auto"/>
        <w:ind w:left="479" w:leftChars="228"/>
        <w:jc w:val="left"/>
        <w:rPr>
          <w:rFonts w:hint="eastAsia" w:ascii="宋体" w:hAnsi="宋体" w:cs="宋体"/>
          <w:color w:val="auto"/>
          <w:sz w:val="24"/>
          <w:highlight w:val="none"/>
        </w:rPr>
      </w:pPr>
      <w:r>
        <w:rPr>
          <w:color w:val="auto"/>
          <w:kern w:val="0"/>
          <w:sz w:val="24"/>
          <w:highlight w:val="none"/>
        </w:rPr>
        <w:t>2、地点：</w:t>
      </w:r>
      <w:r>
        <w:rPr>
          <w:rFonts w:hint="eastAsia"/>
          <w:b/>
          <w:color w:val="auto"/>
          <w:sz w:val="24"/>
          <w:highlight w:val="none"/>
          <w:u w:val="single"/>
        </w:rPr>
        <w:t>南通市崇川区姚港路江景苑G座南楼</w:t>
      </w:r>
      <w:r>
        <w:rPr>
          <w:rFonts w:hint="eastAsia"/>
          <w:b/>
          <w:color w:val="auto"/>
          <w:sz w:val="24"/>
          <w:highlight w:val="none"/>
          <w:u w:val="single"/>
          <w:lang w:val="en-US" w:eastAsia="zh-CN"/>
        </w:rPr>
        <w:t xml:space="preserve"> 708</w:t>
      </w:r>
      <w:r>
        <w:rPr>
          <w:rFonts w:hint="eastAsia"/>
          <w:b/>
          <w:color w:val="auto"/>
          <w:sz w:val="24"/>
          <w:highlight w:val="none"/>
          <w:u w:val="single"/>
        </w:rPr>
        <w:t>会议室 ，</w:t>
      </w:r>
      <w:r>
        <w:rPr>
          <w:rFonts w:hint="eastAsia" w:ascii="宋体" w:hAnsi="宋体" w:cs="宋体"/>
          <w:color w:val="auto"/>
          <w:sz w:val="24"/>
          <w:highlight w:val="none"/>
        </w:rPr>
        <w:t>（若有调整另行通知）。</w:t>
      </w:r>
    </w:p>
    <w:p w14:paraId="16F743FF">
      <w:pPr>
        <w:widowControl/>
        <w:spacing w:line="360" w:lineRule="auto"/>
        <w:ind w:firstLine="480" w:firstLineChars="200"/>
        <w:jc w:val="left"/>
        <w:rPr>
          <w:color w:val="auto"/>
          <w:kern w:val="0"/>
          <w:sz w:val="24"/>
          <w:highlight w:val="none"/>
        </w:rPr>
      </w:pPr>
      <w:r>
        <w:rPr>
          <w:color w:val="auto"/>
          <w:kern w:val="0"/>
          <w:sz w:val="24"/>
          <w:highlight w:val="none"/>
        </w:rPr>
        <w:t>3、逾期送达或者未送达指定地点的响应文件，采购人不予受理。</w:t>
      </w:r>
    </w:p>
    <w:p w14:paraId="5BA2BD5C">
      <w:pPr>
        <w:spacing w:line="360" w:lineRule="auto"/>
        <w:ind w:firstLine="480" w:firstLineChars="200"/>
        <w:jc w:val="left"/>
        <w:rPr>
          <w:color w:val="auto"/>
          <w:sz w:val="24"/>
          <w:highlight w:val="none"/>
        </w:rPr>
      </w:pPr>
      <w:r>
        <w:rPr>
          <w:color w:val="auto"/>
          <w:sz w:val="24"/>
          <w:highlight w:val="none"/>
        </w:rPr>
        <w:t>五、开启响应文件</w:t>
      </w:r>
    </w:p>
    <w:p w14:paraId="13D6B272">
      <w:pPr>
        <w:widowControl/>
        <w:spacing w:line="360" w:lineRule="auto"/>
        <w:ind w:firstLine="480" w:firstLineChars="200"/>
        <w:jc w:val="left"/>
        <w:rPr>
          <w:color w:val="auto"/>
          <w:kern w:val="0"/>
          <w:sz w:val="24"/>
          <w:highlight w:val="none"/>
        </w:rPr>
      </w:pPr>
      <w:r>
        <w:rPr>
          <w:color w:val="auto"/>
          <w:kern w:val="0"/>
          <w:sz w:val="24"/>
          <w:highlight w:val="none"/>
        </w:rPr>
        <w:t>时间：</w:t>
      </w:r>
      <w:r>
        <w:rPr>
          <w:rFonts w:hint="eastAsia"/>
          <w:b/>
          <w:color w:val="auto"/>
          <w:sz w:val="24"/>
          <w:highlight w:val="none"/>
          <w:u w:val="single"/>
          <w:lang w:eastAsia="zh-CN"/>
        </w:rPr>
        <w:t>202</w:t>
      </w:r>
      <w:r>
        <w:rPr>
          <w:rFonts w:hint="eastAsia"/>
          <w:b/>
          <w:color w:val="auto"/>
          <w:sz w:val="24"/>
          <w:highlight w:val="none"/>
          <w:u w:val="single"/>
          <w:lang w:val="en-US" w:eastAsia="zh-CN"/>
        </w:rPr>
        <w:t>6</w:t>
      </w:r>
      <w:r>
        <w:rPr>
          <w:rFonts w:hint="eastAsia"/>
          <w:b/>
          <w:color w:val="auto"/>
          <w:sz w:val="24"/>
          <w:highlight w:val="none"/>
          <w:u w:val="single"/>
        </w:rPr>
        <w:t xml:space="preserve">年 </w:t>
      </w:r>
      <w:r>
        <w:rPr>
          <w:rFonts w:hint="eastAsia"/>
          <w:b/>
          <w:color w:val="auto"/>
          <w:sz w:val="24"/>
          <w:highlight w:val="none"/>
          <w:u w:val="single"/>
          <w:lang w:val="en-US" w:eastAsia="zh-CN"/>
        </w:rPr>
        <w:t>05</w:t>
      </w:r>
      <w:r>
        <w:rPr>
          <w:rFonts w:hint="eastAsia"/>
          <w:b/>
          <w:color w:val="auto"/>
          <w:sz w:val="24"/>
          <w:highlight w:val="none"/>
          <w:u w:val="single"/>
        </w:rPr>
        <w:t>月</w:t>
      </w:r>
      <w:r>
        <w:rPr>
          <w:rFonts w:hint="eastAsia"/>
          <w:b/>
          <w:color w:val="auto"/>
          <w:sz w:val="24"/>
          <w:highlight w:val="none"/>
          <w:u w:val="single"/>
          <w:lang w:val="en-US" w:eastAsia="zh-CN"/>
        </w:rPr>
        <w:t>11</w:t>
      </w:r>
      <w:r>
        <w:rPr>
          <w:rFonts w:hint="eastAsia"/>
          <w:b/>
          <w:color w:val="auto"/>
          <w:sz w:val="24"/>
          <w:highlight w:val="none"/>
          <w:u w:val="single"/>
        </w:rPr>
        <w:t xml:space="preserve">日 </w:t>
      </w:r>
      <w:r>
        <w:rPr>
          <w:rFonts w:hint="eastAsia"/>
          <w:b/>
          <w:color w:val="auto"/>
          <w:sz w:val="24"/>
          <w:highlight w:val="none"/>
          <w:u w:val="single"/>
          <w:lang w:val="en-US" w:eastAsia="zh-CN"/>
        </w:rPr>
        <w:t>14</w:t>
      </w:r>
      <w:r>
        <w:rPr>
          <w:rFonts w:hint="eastAsia"/>
          <w:b/>
          <w:color w:val="auto"/>
          <w:sz w:val="24"/>
          <w:highlight w:val="none"/>
          <w:u w:val="single"/>
        </w:rPr>
        <w:t xml:space="preserve"> </w:t>
      </w:r>
      <w:r>
        <w:rPr>
          <w:b/>
          <w:color w:val="auto"/>
          <w:sz w:val="24"/>
          <w:highlight w:val="none"/>
          <w:u w:val="single"/>
        </w:rPr>
        <w:t>时</w:t>
      </w:r>
      <w:r>
        <w:rPr>
          <w:rFonts w:hint="eastAsia"/>
          <w:b/>
          <w:color w:val="auto"/>
          <w:sz w:val="24"/>
          <w:highlight w:val="none"/>
          <w:u w:val="single"/>
          <w:lang w:val="en-US" w:eastAsia="zh-CN"/>
        </w:rPr>
        <w:t>30</w:t>
      </w:r>
      <w:r>
        <w:rPr>
          <w:rFonts w:hint="eastAsia"/>
          <w:b/>
          <w:color w:val="auto"/>
          <w:sz w:val="24"/>
          <w:highlight w:val="none"/>
          <w:u w:val="single"/>
        </w:rPr>
        <w:t xml:space="preserve"> </w:t>
      </w:r>
      <w:r>
        <w:rPr>
          <w:b/>
          <w:color w:val="auto"/>
          <w:sz w:val="24"/>
          <w:highlight w:val="none"/>
          <w:u w:val="single"/>
        </w:rPr>
        <w:t>分</w:t>
      </w:r>
      <w:r>
        <w:rPr>
          <w:color w:val="auto"/>
          <w:kern w:val="0"/>
          <w:sz w:val="24"/>
          <w:highlight w:val="none"/>
        </w:rPr>
        <w:t>；</w:t>
      </w:r>
    </w:p>
    <w:p w14:paraId="6BFBF6EE">
      <w:pPr>
        <w:spacing w:line="360" w:lineRule="auto"/>
        <w:ind w:firstLine="480" w:firstLineChars="200"/>
        <w:jc w:val="left"/>
        <w:rPr>
          <w:color w:val="auto"/>
          <w:kern w:val="0"/>
          <w:sz w:val="24"/>
          <w:highlight w:val="none"/>
        </w:rPr>
      </w:pPr>
      <w:r>
        <w:rPr>
          <w:color w:val="auto"/>
          <w:kern w:val="0"/>
          <w:sz w:val="24"/>
          <w:szCs w:val="20"/>
          <w:highlight w:val="none"/>
        </w:rPr>
        <w:t>地点：</w:t>
      </w:r>
      <w:r>
        <w:rPr>
          <w:rFonts w:hint="eastAsia"/>
          <w:b/>
          <w:color w:val="auto"/>
          <w:sz w:val="24"/>
          <w:highlight w:val="none"/>
          <w:u w:val="single"/>
        </w:rPr>
        <w:t>南通市崇川区姚港路江景苑G座南楼</w:t>
      </w:r>
      <w:r>
        <w:rPr>
          <w:rFonts w:hint="eastAsia"/>
          <w:b/>
          <w:color w:val="auto"/>
          <w:sz w:val="24"/>
          <w:highlight w:val="none"/>
          <w:u w:val="single"/>
          <w:lang w:val="en-US" w:eastAsia="zh-CN"/>
        </w:rPr>
        <w:t xml:space="preserve"> 708</w:t>
      </w:r>
      <w:r>
        <w:rPr>
          <w:rFonts w:hint="eastAsia"/>
          <w:b/>
          <w:color w:val="auto"/>
          <w:sz w:val="24"/>
          <w:highlight w:val="none"/>
          <w:u w:val="single"/>
        </w:rPr>
        <w:t>会议室 ，</w:t>
      </w:r>
      <w:r>
        <w:rPr>
          <w:b/>
          <w:color w:val="auto"/>
          <w:sz w:val="24"/>
          <w:highlight w:val="none"/>
          <w:u w:val="single"/>
        </w:rPr>
        <w:t>如有变动另行通知</w:t>
      </w:r>
      <w:r>
        <w:rPr>
          <w:color w:val="auto"/>
          <w:sz w:val="24"/>
          <w:highlight w:val="none"/>
        </w:rPr>
        <w:t>。</w:t>
      </w:r>
    </w:p>
    <w:p w14:paraId="45A78832">
      <w:pPr>
        <w:spacing w:line="360" w:lineRule="auto"/>
        <w:ind w:firstLine="480" w:firstLineChars="200"/>
        <w:jc w:val="left"/>
        <w:rPr>
          <w:color w:val="auto"/>
          <w:kern w:val="0"/>
          <w:sz w:val="24"/>
          <w:highlight w:val="none"/>
        </w:rPr>
      </w:pPr>
      <w:r>
        <w:rPr>
          <w:bCs/>
          <w:color w:val="auto"/>
          <w:sz w:val="24"/>
          <w:highlight w:val="none"/>
        </w:rPr>
        <w:t>六、</w:t>
      </w:r>
      <w:r>
        <w:rPr>
          <w:color w:val="auto"/>
          <w:kern w:val="0"/>
          <w:sz w:val="24"/>
          <w:highlight w:val="none"/>
        </w:rPr>
        <w:t>公告期限</w:t>
      </w:r>
    </w:p>
    <w:p w14:paraId="42F4D3BA">
      <w:pPr>
        <w:spacing w:line="360" w:lineRule="auto"/>
        <w:ind w:firstLine="480" w:firstLineChars="200"/>
        <w:jc w:val="left"/>
        <w:rPr>
          <w:color w:val="auto"/>
          <w:kern w:val="0"/>
          <w:sz w:val="24"/>
          <w:highlight w:val="none"/>
        </w:rPr>
      </w:pPr>
      <w:r>
        <w:rPr>
          <w:color w:val="auto"/>
          <w:kern w:val="0"/>
          <w:sz w:val="24"/>
          <w:highlight w:val="none"/>
        </w:rPr>
        <w:t>自本公告发布之日起</w:t>
      </w:r>
      <w:r>
        <w:rPr>
          <w:color w:val="auto"/>
          <w:kern w:val="0"/>
          <w:sz w:val="24"/>
          <w:highlight w:val="yellow"/>
        </w:rPr>
        <w:t>3</w:t>
      </w:r>
      <w:r>
        <w:rPr>
          <w:color w:val="auto"/>
          <w:kern w:val="0"/>
          <w:sz w:val="24"/>
          <w:highlight w:val="none"/>
        </w:rPr>
        <w:t>个工作日。</w:t>
      </w:r>
    </w:p>
    <w:p w14:paraId="1065589F">
      <w:pPr>
        <w:spacing w:line="360" w:lineRule="auto"/>
        <w:ind w:firstLine="480" w:firstLineChars="200"/>
        <w:jc w:val="left"/>
        <w:rPr>
          <w:bCs/>
          <w:color w:val="auto"/>
          <w:sz w:val="24"/>
          <w:highlight w:val="none"/>
        </w:rPr>
      </w:pPr>
      <w:r>
        <w:rPr>
          <w:bCs/>
          <w:color w:val="auto"/>
          <w:sz w:val="24"/>
          <w:highlight w:val="none"/>
        </w:rPr>
        <w:t>七、其他补充事宜</w:t>
      </w:r>
    </w:p>
    <w:p w14:paraId="24E02E50">
      <w:pPr>
        <w:spacing w:line="360" w:lineRule="auto"/>
        <w:ind w:firstLine="480" w:firstLineChars="200"/>
        <w:jc w:val="left"/>
        <w:rPr>
          <w:color w:val="auto"/>
          <w:kern w:val="0"/>
          <w:sz w:val="24"/>
          <w:highlight w:val="none"/>
        </w:rPr>
      </w:pPr>
      <w:r>
        <w:rPr>
          <w:color w:val="auto"/>
          <w:kern w:val="0"/>
          <w:sz w:val="24"/>
          <w:highlight w:val="none"/>
        </w:rPr>
        <w:t>竞争性磋商程序简介：磋商小组审查响应供应商资格，符合资格的供应商接受磋商小组的各轮磋商。磋商结束后要求所有实质性响应的供应商在规定时间内提交最后报价，磋商小组采用综合评分法对提交最后报价的供应商的响应文件和最后报价进行综合评分，响应文件满足磋商文件全部实质性要求且按评审因素的量化指标评审得分最高者，为成交供应商。</w:t>
      </w:r>
    </w:p>
    <w:p w14:paraId="02C78406">
      <w:pPr>
        <w:spacing w:line="360" w:lineRule="auto"/>
        <w:ind w:firstLine="480" w:firstLineChars="200"/>
        <w:jc w:val="left"/>
        <w:rPr>
          <w:color w:val="auto"/>
          <w:kern w:val="0"/>
          <w:sz w:val="24"/>
          <w:highlight w:val="none"/>
        </w:rPr>
      </w:pPr>
      <w:r>
        <w:rPr>
          <w:color w:val="auto"/>
          <w:kern w:val="0"/>
          <w:sz w:val="24"/>
          <w:highlight w:val="none"/>
        </w:rPr>
        <w:t>八、凡对本次采购提出询问，请按以下方式联系</w:t>
      </w:r>
    </w:p>
    <w:p w14:paraId="2E9727A6">
      <w:pPr>
        <w:spacing w:line="360" w:lineRule="auto"/>
        <w:ind w:firstLine="480" w:firstLineChars="200"/>
        <w:jc w:val="left"/>
        <w:rPr>
          <w:color w:val="auto"/>
          <w:kern w:val="0"/>
          <w:sz w:val="24"/>
          <w:highlight w:val="none"/>
        </w:rPr>
      </w:pPr>
      <w:r>
        <w:rPr>
          <w:color w:val="auto"/>
          <w:kern w:val="0"/>
          <w:sz w:val="24"/>
          <w:highlight w:val="none"/>
        </w:rPr>
        <w:t>1、采购人信息</w:t>
      </w:r>
    </w:p>
    <w:p w14:paraId="35661F78">
      <w:pPr>
        <w:spacing w:line="360" w:lineRule="auto"/>
        <w:ind w:firstLine="480" w:firstLineChars="200"/>
        <w:jc w:val="left"/>
        <w:rPr>
          <w:color w:val="auto"/>
          <w:kern w:val="0"/>
          <w:sz w:val="24"/>
          <w:highlight w:val="none"/>
        </w:rPr>
      </w:pPr>
      <w:r>
        <w:rPr>
          <w:color w:val="auto"/>
          <w:kern w:val="0"/>
          <w:sz w:val="24"/>
          <w:highlight w:val="none"/>
        </w:rPr>
        <w:t xml:space="preserve">名    称：南通市生态环境局 </w:t>
      </w:r>
    </w:p>
    <w:p w14:paraId="2D72330E">
      <w:pPr>
        <w:spacing w:line="360" w:lineRule="auto"/>
        <w:ind w:firstLine="480" w:firstLineChars="200"/>
        <w:jc w:val="left"/>
        <w:rPr>
          <w:rFonts w:hint="default" w:eastAsia="宋体"/>
          <w:color w:val="auto"/>
          <w:kern w:val="0"/>
          <w:sz w:val="24"/>
          <w:highlight w:val="none"/>
          <w:lang w:val="en-US" w:eastAsia="zh-CN"/>
        </w:rPr>
      </w:pPr>
      <w:r>
        <w:rPr>
          <w:color w:val="auto"/>
          <w:kern w:val="0"/>
          <w:sz w:val="24"/>
          <w:highlight w:val="none"/>
        </w:rPr>
        <w:t>地    址：南通市</w:t>
      </w:r>
      <w:r>
        <w:rPr>
          <w:rFonts w:hint="eastAsia"/>
          <w:color w:val="auto"/>
          <w:kern w:val="0"/>
          <w:sz w:val="24"/>
          <w:highlight w:val="none"/>
          <w:lang w:val="en-US" w:eastAsia="zh-CN"/>
        </w:rPr>
        <w:t>姚港路52号</w:t>
      </w:r>
    </w:p>
    <w:p w14:paraId="47E371D1">
      <w:pPr>
        <w:spacing w:line="360" w:lineRule="auto"/>
        <w:ind w:firstLine="480" w:firstLineChars="200"/>
        <w:jc w:val="left"/>
        <w:rPr>
          <w:rFonts w:hint="eastAsia" w:eastAsia="宋体"/>
          <w:color w:val="auto"/>
          <w:kern w:val="0"/>
          <w:sz w:val="24"/>
          <w:highlight w:val="none"/>
          <w:lang w:val="en-US" w:eastAsia="zh-CN"/>
        </w:rPr>
      </w:pPr>
      <w:r>
        <w:rPr>
          <w:color w:val="auto"/>
          <w:kern w:val="0"/>
          <w:sz w:val="24"/>
          <w:highlight w:val="none"/>
        </w:rPr>
        <w:t>联系方式：</w:t>
      </w:r>
      <w:r>
        <w:rPr>
          <w:rFonts w:hint="eastAsia"/>
          <w:color w:val="auto"/>
          <w:kern w:val="0"/>
          <w:sz w:val="24"/>
          <w:highlight w:val="none"/>
          <w:lang w:val="en-US" w:eastAsia="zh-CN"/>
        </w:rPr>
        <w:t>曹</w:t>
      </w:r>
      <w:r>
        <w:rPr>
          <w:rFonts w:hint="eastAsia"/>
          <w:color w:val="auto"/>
          <w:kern w:val="0"/>
          <w:sz w:val="24"/>
          <w:highlight w:val="none"/>
          <w:lang w:eastAsia="zh-CN"/>
        </w:rPr>
        <w:t>女士0513-59002790</w:t>
      </w:r>
    </w:p>
    <w:p w14:paraId="1F1570D8">
      <w:pPr>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2、采购代理机构</w:t>
      </w:r>
    </w:p>
    <w:bookmarkEnd w:id="4"/>
    <w:bookmarkEnd w:id="5"/>
    <w:bookmarkEnd w:id="6"/>
    <w:p w14:paraId="062DDB32">
      <w:pPr>
        <w:spacing w:line="360" w:lineRule="auto"/>
        <w:ind w:firstLine="480" w:firstLineChars="200"/>
        <w:jc w:val="left"/>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rPr>
        <w:t>名 称：</w:t>
      </w:r>
      <w:r>
        <w:rPr>
          <w:rFonts w:hint="eastAsia" w:cs="Times New Roman"/>
          <w:color w:val="auto"/>
          <w:kern w:val="0"/>
          <w:sz w:val="24"/>
          <w:highlight w:val="none"/>
          <w:lang w:eastAsia="zh-CN"/>
        </w:rPr>
        <w:t>江苏澄建正达工程项目管理有限公司</w:t>
      </w:r>
    </w:p>
    <w:p w14:paraId="1105BB9A">
      <w:pPr>
        <w:spacing w:line="360" w:lineRule="auto"/>
        <w:ind w:firstLine="480" w:firstLineChars="200"/>
        <w:jc w:val="left"/>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rPr>
        <w:t>地址：</w:t>
      </w:r>
      <w:r>
        <w:rPr>
          <w:rFonts w:hint="eastAsia" w:ascii="Times New Roman" w:hAnsi="Times New Roman" w:eastAsia="宋体" w:cs="Times New Roman"/>
          <w:color w:val="auto"/>
          <w:kern w:val="0"/>
          <w:sz w:val="24"/>
          <w:highlight w:val="none"/>
          <w:lang w:eastAsia="zh-CN"/>
        </w:rPr>
        <w:t>南通市崇川区通京大道14号</w:t>
      </w:r>
    </w:p>
    <w:p w14:paraId="795B242A">
      <w:pPr>
        <w:spacing w:line="360" w:lineRule="auto"/>
        <w:ind w:firstLine="480" w:firstLineChars="200"/>
        <w:jc w:val="left"/>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联系</w:t>
      </w:r>
      <w:r>
        <w:rPr>
          <w:rFonts w:hint="eastAsia" w:cs="Times New Roman"/>
          <w:color w:val="auto"/>
          <w:kern w:val="0"/>
          <w:sz w:val="24"/>
          <w:highlight w:val="none"/>
          <w:lang w:val="en-US" w:eastAsia="zh-CN"/>
        </w:rPr>
        <w:t>人</w:t>
      </w:r>
      <w:r>
        <w:rPr>
          <w:rFonts w:hint="eastAsia" w:ascii="Times New Roman" w:hAnsi="Times New Roman" w:eastAsia="宋体" w:cs="Times New Roman"/>
          <w:color w:val="auto"/>
          <w:kern w:val="0"/>
          <w:sz w:val="24"/>
          <w:highlight w:val="none"/>
        </w:rPr>
        <w:t>：</w:t>
      </w:r>
      <w:r>
        <w:rPr>
          <w:rFonts w:hint="eastAsia" w:cs="Times New Roman"/>
          <w:color w:val="auto"/>
          <w:kern w:val="0"/>
          <w:sz w:val="24"/>
          <w:highlight w:val="none"/>
          <w:lang w:val="en-US" w:eastAsia="zh-CN"/>
        </w:rPr>
        <w:t>郑</w:t>
      </w:r>
      <w:r>
        <w:rPr>
          <w:rFonts w:hint="eastAsia" w:ascii="Times New Roman" w:hAnsi="Times New Roman" w:eastAsia="宋体" w:cs="Times New Roman"/>
          <w:color w:val="auto"/>
          <w:kern w:val="0"/>
          <w:sz w:val="24"/>
          <w:highlight w:val="none"/>
        </w:rPr>
        <w:t>女士（电话：</w:t>
      </w:r>
      <w:r>
        <w:rPr>
          <w:rFonts w:hint="eastAsia" w:cs="Times New Roman"/>
          <w:color w:val="auto"/>
          <w:kern w:val="0"/>
          <w:sz w:val="24"/>
          <w:highlight w:val="none"/>
          <w:lang w:val="en-US" w:eastAsia="zh-CN"/>
        </w:rPr>
        <w:t>18651320756</w:t>
      </w:r>
      <w:r>
        <w:rPr>
          <w:rFonts w:hint="eastAsia" w:ascii="Times New Roman" w:hAnsi="Times New Roman" w:eastAsia="宋体" w:cs="Times New Roman"/>
          <w:color w:val="auto"/>
          <w:kern w:val="0"/>
          <w:sz w:val="24"/>
          <w:highlight w:val="none"/>
        </w:rPr>
        <w:t>）</w:t>
      </w:r>
    </w:p>
    <w:p w14:paraId="113B1654">
      <w:pPr>
        <w:pStyle w:val="12"/>
        <w:ind w:left="0" w:leftChars="0" w:firstLine="480" w:firstLineChars="200"/>
        <w:rPr>
          <w:rFonts w:hint="default" w:eastAsia="宋体"/>
          <w:color w:val="auto"/>
          <w:highlight w:val="none"/>
          <w:lang w:val="en-US" w:eastAsia="zh-CN"/>
        </w:rPr>
      </w:pPr>
      <w:r>
        <w:rPr>
          <w:rFonts w:hint="eastAsia" w:cs="Times New Roman"/>
          <w:color w:val="auto"/>
          <w:kern w:val="0"/>
          <w:sz w:val="24"/>
          <w:highlight w:val="none"/>
          <w:lang w:val="en-US" w:eastAsia="zh-CN"/>
        </w:rPr>
        <w:t>邮箱：2835938821@qq.com</w:t>
      </w:r>
    </w:p>
    <w:p w14:paraId="32A002C4">
      <w:pPr>
        <w:spacing w:line="360" w:lineRule="auto"/>
        <w:ind w:firstLine="723" w:firstLineChars="200"/>
        <w:jc w:val="center"/>
        <w:outlineLvl w:val="0"/>
        <w:rPr>
          <w:b/>
          <w:color w:val="auto"/>
          <w:sz w:val="36"/>
          <w:szCs w:val="36"/>
          <w:highlight w:val="none"/>
        </w:rPr>
      </w:pPr>
      <w:r>
        <w:rPr>
          <w:b/>
          <w:color w:val="auto"/>
          <w:sz w:val="36"/>
          <w:szCs w:val="36"/>
          <w:highlight w:val="none"/>
        </w:rPr>
        <w:br w:type="page"/>
      </w:r>
      <w:r>
        <w:rPr>
          <w:rFonts w:hAnsi="宋体"/>
          <w:b/>
          <w:color w:val="auto"/>
          <w:sz w:val="36"/>
          <w:szCs w:val="36"/>
          <w:highlight w:val="none"/>
        </w:rPr>
        <w:t>第二部分</w:t>
      </w:r>
      <w:r>
        <w:rPr>
          <w:b/>
          <w:color w:val="auto"/>
          <w:sz w:val="36"/>
          <w:szCs w:val="36"/>
          <w:highlight w:val="none"/>
        </w:rPr>
        <w:t xml:space="preserve">  </w:t>
      </w:r>
      <w:r>
        <w:rPr>
          <w:rFonts w:hAnsi="宋体"/>
          <w:b/>
          <w:color w:val="auto"/>
          <w:sz w:val="36"/>
          <w:szCs w:val="36"/>
          <w:highlight w:val="none"/>
        </w:rPr>
        <w:t>磋商须知</w:t>
      </w:r>
    </w:p>
    <w:p w14:paraId="41A531E7">
      <w:pPr>
        <w:snapToGrid w:val="0"/>
        <w:spacing w:line="360" w:lineRule="auto"/>
        <w:ind w:firstLine="482" w:firstLineChars="200"/>
        <w:jc w:val="left"/>
        <w:rPr>
          <w:color w:val="auto"/>
          <w:sz w:val="24"/>
          <w:highlight w:val="none"/>
        </w:rPr>
      </w:pPr>
      <w:r>
        <w:rPr>
          <w:b/>
          <w:color w:val="auto"/>
          <w:sz w:val="24"/>
          <w:highlight w:val="none"/>
        </w:rPr>
        <w:t>一、磋商文件解释权归采购人所有</w:t>
      </w:r>
      <w:r>
        <w:rPr>
          <w:color w:val="auto"/>
          <w:sz w:val="24"/>
          <w:highlight w:val="none"/>
        </w:rPr>
        <w:t>。</w:t>
      </w:r>
    </w:p>
    <w:p w14:paraId="2ECAFF95">
      <w:pPr>
        <w:snapToGrid w:val="0"/>
        <w:spacing w:line="360" w:lineRule="auto"/>
        <w:ind w:firstLine="480" w:firstLineChars="200"/>
        <w:jc w:val="left"/>
        <w:rPr>
          <w:b/>
          <w:color w:val="auto"/>
          <w:sz w:val="24"/>
          <w:highlight w:val="none"/>
        </w:rPr>
      </w:pPr>
      <w:r>
        <w:rPr>
          <w:color w:val="auto"/>
          <w:sz w:val="24"/>
          <w:highlight w:val="none"/>
        </w:rPr>
        <w:t>1、供应商获取磋商文件后，应仔细检查磋商文件的所有内容，如有内容或页码残缺、资格要求和技术参数含有倾向性或排他性等表述的，应在获取磋商文件后以书面形式提出询问或疑问，否则视同供应商理解并接受本磋商文件所有内容，并由此引起的投标损失自负。供应商不得在磋商结束后针对磋商文件所有内容提出质疑事项。</w:t>
      </w:r>
      <w:r>
        <w:rPr>
          <w:b/>
          <w:color w:val="auto"/>
          <w:sz w:val="24"/>
          <w:highlight w:val="none"/>
        </w:rPr>
        <w:t>非书面形式的不作为日后质疑提出的依据。</w:t>
      </w:r>
    </w:p>
    <w:p w14:paraId="182B10BE">
      <w:pPr>
        <w:snapToGrid w:val="0"/>
        <w:spacing w:line="360" w:lineRule="auto"/>
        <w:ind w:firstLine="480" w:firstLineChars="200"/>
        <w:jc w:val="left"/>
        <w:rPr>
          <w:color w:val="auto"/>
          <w:sz w:val="24"/>
          <w:highlight w:val="none"/>
        </w:rPr>
      </w:pPr>
      <w:r>
        <w:rPr>
          <w:color w:val="auto"/>
          <w:sz w:val="24"/>
          <w:highlight w:val="none"/>
        </w:rPr>
        <w:t>2、供应商应认真审阅磋商文件中所有的事项、格式、条款和规范要求等，如果供应商没有按照磋商文件要求提交响应文件，或者响应文件没有对磋商文件做出实质性响应，其投标将被拒绝，供应商自行承担责任。</w:t>
      </w:r>
    </w:p>
    <w:p w14:paraId="369FBFD7">
      <w:pPr>
        <w:snapToGrid w:val="0"/>
        <w:spacing w:line="360" w:lineRule="auto"/>
        <w:ind w:firstLine="482" w:firstLineChars="200"/>
        <w:jc w:val="left"/>
        <w:rPr>
          <w:b/>
          <w:color w:val="auto"/>
          <w:sz w:val="24"/>
          <w:highlight w:val="none"/>
        </w:rPr>
      </w:pPr>
      <w:r>
        <w:rPr>
          <w:b/>
          <w:color w:val="auto"/>
          <w:sz w:val="24"/>
          <w:highlight w:val="none"/>
        </w:rPr>
        <w:t>二、磋商文件的澄清、修改、答疑</w:t>
      </w:r>
    </w:p>
    <w:p w14:paraId="362E2343">
      <w:pPr>
        <w:pStyle w:val="6"/>
        <w:snapToGrid w:val="0"/>
        <w:spacing w:after="0" w:line="360" w:lineRule="auto"/>
        <w:ind w:left="0" w:leftChars="0" w:firstLine="480" w:firstLineChars="200"/>
        <w:jc w:val="left"/>
        <w:rPr>
          <w:color w:val="auto"/>
          <w:sz w:val="24"/>
          <w:highlight w:val="none"/>
        </w:rPr>
      </w:pPr>
      <w:r>
        <w:rPr>
          <w:color w:val="auto"/>
          <w:sz w:val="24"/>
          <w:highlight w:val="none"/>
        </w:rPr>
        <w:t>1、采购人有权对发出的磋商文件进行必要的补充说明、澄清或修改。</w:t>
      </w:r>
    </w:p>
    <w:p w14:paraId="6812CEEF">
      <w:pPr>
        <w:pStyle w:val="6"/>
        <w:snapToGrid w:val="0"/>
        <w:spacing w:after="0" w:line="360" w:lineRule="auto"/>
        <w:ind w:left="0" w:leftChars="0" w:firstLine="480" w:firstLineChars="200"/>
        <w:jc w:val="left"/>
        <w:rPr>
          <w:color w:val="auto"/>
          <w:sz w:val="24"/>
          <w:highlight w:val="none"/>
        </w:rPr>
      </w:pPr>
      <w:r>
        <w:rPr>
          <w:color w:val="auto"/>
          <w:sz w:val="24"/>
          <w:highlight w:val="none"/>
        </w:rPr>
        <w:t>2、凡涉及磋商文件的补充说明、澄清或修改，均以书面发出的信息为准。</w:t>
      </w:r>
    </w:p>
    <w:p w14:paraId="007B6F1A">
      <w:pPr>
        <w:pStyle w:val="6"/>
        <w:snapToGrid w:val="0"/>
        <w:spacing w:after="0" w:line="360" w:lineRule="auto"/>
        <w:ind w:left="0" w:leftChars="0" w:firstLine="480" w:firstLineChars="200"/>
        <w:jc w:val="left"/>
        <w:rPr>
          <w:color w:val="auto"/>
          <w:sz w:val="24"/>
          <w:highlight w:val="none"/>
        </w:rPr>
      </w:pPr>
      <w:r>
        <w:rPr>
          <w:color w:val="auto"/>
          <w:sz w:val="24"/>
          <w:highlight w:val="none"/>
        </w:rPr>
        <w:t>3、采购人对磋商文件的补充说明、澄清或修改，将构成本项目磋商文件的一部分，对响应供应商具有约束力。</w:t>
      </w:r>
    </w:p>
    <w:p w14:paraId="0552102F">
      <w:pPr>
        <w:pStyle w:val="6"/>
        <w:snapToGrid w:val="0"/>
        <w:spacing w:after="0" w:line="360" w:lineRule="auto"/>
        <w:ind w:left="0" w:leftChars="0" w:firstLine="480" w:firstLineChars="200"/>
        <w:jc w:val="left"/>
        <w:rPr>
          <w:color w:val="auto"/>
          <w:sz w:val="24"/>
          <w:highlight w:val="none"/>
        </w:rPr>
      </w:pPr>
      <w:r>
        <w:rPr>
          <w:color w:val="auto"/>
          <w:sz w:val="24"/>
          <w:highlight w:val="none"/>
        </w:rPr>
        <w:t>4、补充说明、澄清或修改的内容可能影响到响应文件编制的，代理机构将在首次提交磋商响应文件截止日5天前，发布补充说明、澄清或修改公告。不足5日的，应当顺延首次提交磋商响应文件截止之日。</w:t>
      </w:r>
    </w:p>
    <w:p w14:paraId="48CF3444">
      <w:pPr>
        <w:pStyle w:val="6"/>
        <w:snapToGrid w:val="0"/>
        <w:spacing w:after="0" w:line="360" w:lineRule="auto"/>
        <w:ind w:left="0" w:leftChars="0" w:firstLine="480" w:firstLineChars="200"/>
        <w:jc w:val="left"/>
        <w:rPr>
          <w:color w:val="auto"/>
          <w:sz w:val="24"/>
          <w:highlight w:val="none"/>
        </w:rPr>
      </w:pPr>
      <w:r>
        <w:rPr>
          <w:color w:val="auto"/>
          <w:sz w:val="24"/>
          <w:highlight w:val="none"/>
        </w:rPr>
        <w:t>5、除非代理机构以书面、公告的形式对磋商文件作出澄清、修改、补充，供应商对涉及磋商文件的任何推论、理解和结论所造成的结果，均由供应商自负。</w:t>
      </w:r>
    </w:p>
    <w:p w14:paraId="279B5802">
      <w:pPr>
        <w:pStyle w:val="6"/>
        <w:snapToGrid w:val="0"/>
        <w:spacing w:after="0" w:line="360" w:lineRule="auto"/>
        <w:ind w:left="0" w:leftChars="0" w:firstLine="480" w:firstLineChars="200"/>
        <w:jc w:val="left"/>
        <w:rPr>
          <w:color w:val="auto"/>
          <w:sz w:val="24"/>
          <w:highlight w:val="none"/>
        </w:rPr>
      </w:pPr>
      <w:r>
        <w:rPr>
          <w:color w:val="auto"/>
          <w:sz w:val="24"/>
          <w:highlight w:val="none"/>
        </w:rPr>
        <w:t>6、采购人视情组织答疑会。如有产生答疑且对磋商文件内容有修改，代理机构将按照本须知有关规定，以补充通知（公告）的方式发出。</w:t>
      </w:r>
    </w:p>
    <w:p w14:paraId="1CA03967">
      <w:pPr>
        <w:snapToGrid w:val="0"/>
        <w:spacing w:line="360" w:lineRule="auto"/>
        <w:ind w:firstLine="482" w:firstLineChars="200"/>
        <w:jc w:val="left"/>
        <w:rPr>
          <w:b/>
          <w:color w:val="auto"/>
          <w:sz w:val="24"/>
          <w:highlight w:val="none"/>
        </w:rPr>
      </w:pPr>
      <w:r>
        <w:rPr>
          <w:b/>
          <w:color w:val="auto"/>
          <w:sz w:val="24"/>
          <w:highlight w:val="none"/>
        </w:rPr>
        <w:t>三、磋商报价</w:t>
      </w:r>
    </w:p>
    <w:p w14:paraId="264ADB52">
      <w:pPr>
        <w:pStyle w:val="6"/>
        <w:snapToGrid w:val="0"/>
        <w:spacing w:after="0" w:line="360" w:lineRule="auto"/>
        <w:ind w:left="0" w:leftChars="0" w:firstLine="480" w:firstLineChars="200"/>
        <w:jc w:val="left"/>
        <w:rPr>
          <w:color w:val="auto"/>
          <w:sz w:val="24"/>
          <w:highlight w:val="none"/>
        </w:rPr>
      </w:pPr>
      <w:r>
        <w:rPr>
          <w:color w:val="auto"/>
          <w:sz w:val="24"/>
          <w:highlight w:val="none"/>
        </w:rPr>
        <w:t>1、磋商结束后，供应商就所有内容进行最后报价。</w:t>
      </w:r>
    </w:p>
    <w:p w14:paraId="1DCA7A97">
      <w:pPr>
        <w:pStyle w:val="6"/>
        <w:snapToGrid w:val="0"/>
        <w:spacing w:after="0" w:line="360" w:lineRule="auto"/>
        <w:ind w:left="0" w:leftChars="0" w:firstLine="480" w:firstLineChars="200"/>
        <w:jc w:val="left"/>
        <w:rPr>
          <w:color w:val="auto"/>
          <w:sz w:val="24"/>
          <w:highlight w:val="none"/>
        </w:rPr>
      </w:pPr>
      <w:r>
        <w:rPr>
          <w:color w:val="auto"/>
          <w:sz w:val="24"/>
          <w:highlight w:val="none"/>
        </w:rPr>
        <w:t>2、本项目不接受任何有选择的报价。</w:t>
      </w:r>
    </w:p>
    <w:p w14:paraId="7C95393B">
      <w:pPr>
        <w:pStyle w:val="6"/>
        <w:snapToGrid w:val="0"/>
        <w:spacing w:after="0" w:line="360" w:lineRule="auto"/>
        <w:ind w:left="0" w:leftChars="0" w:firstLine="480" w:firstLineChars="200"/>
        <w:jc w:val="left"/>
        <w:rPr>
          <w:color w:val="auto"/>
          <w:sz w:val="24"/>
          <w:highlight w:val="none"/>
        </w:rPr>
      </w:pPr>
      <w:r>
        <w:rPr>
          <w:color w:val="auto"/>
          <w:sz w:val="24"/>
          <w:highlight w:val="none"/>
        </w:rPr>
        <w:t>3、磋商报价均以人民币为报价的币种。</w:t>
      </w:r>
    </w:p>
    <w:p w14:paraId="28B78864">
      <w:pPr>
        <w:pStyle w:val="6"/>
        <w:snapToGrid w:val="0"/>
        <w:spacing w:after="0" w:line="360" w:lineRule="auto"/>
        <w:ind w:left="0" w:leftChars="0" w:firstLine="480" w:firstLineChars="200"/>
        <w:jc w:val="left"/>
        <w:rPr>
          <w:color w:val="auto"/>
          <w:sz w:val="24"/>
          <w:highlight w:val="none"/>
        </w:rPr>
      </w:pPr>
      <w:r>
        <w:rPr>
          <w:color w:val="auto"/>
          <w:sz w:val="24"/>
          <w:highlight w:val="none"/>
        </w:rPr>
        <w:t>4、磋商报价表必须加盖公章且必须经法定代表人或被授权人签字或盖章。</w:t>
      </w:r>
    </w:p>
    <w:p w14:paraId="3A72A89E">
      <w:pPr>
        <w:pStyle w:val="6"/>
        <w:snapToGrid w:val="0"/>
        <w:spacing w:after="0" w:line="360" w:lineRule="auto"/>
        <w:ind w:left="0" w:leftChars="0" w:firstLine="480" w:firstLineChars="200"/>
        <w:jc w:val="left"/>
        <w:rPr>
          <w:color w:val="auto"/>
          <w:sz w:val="24"/>
          <w:highlight w:val="none"/>
        </w:rPr>
      </w:pPr>
      <w:r>
        <w:rPr>
          <w:color w:val="auto"/>
          <w:sz w:val="24"/>
          <w:highlight w:val="none"/>
        </w:rPr>
        <w:t>5、最后报价应包括本项目的全部费用，包括但不限于法律顾问咨询和服务的劳务、交通、食宿、通信、政策</w:t>
      </w:r>
      <w:r>
        <w:rPr>
          <w:bCs/>
          <w:color w:val="auto"/>
          <w:sz w:val="24"/>
          <w:highlight w:val="none"/>
        </w:rPr>
        <w:t>性调整风险费、代理服务费</w:t>
      </w:r>
      <w:r>
        <w:rPr>
          <w:color w:val="auto"/>
          <w:sz w:val="24"/>
          <w:highlight w:val="none"/>
        </w:rPr>
        <w:t>、</w:t>
      </w:r>
      <w:r>
        <w:rPr>
          <w:rFonts w:hAnsi="宋体"/>
          <w:bCs/>
          <w:color w:val="auto"/>
          <w:sz w:val="24"/>
          <w:highlight w:val="none"/>
        </w:rPr>
        <w:t>相关伴随服务、管理费、利润、税金</w:t>
      </w:r>
      <w:r>
        <w:rPr>
          <w:color w:val="auto"/>
          <w:sz w:val="24"/>
          <w:highlight w:val="none"/>
        </w:rPr>
        <w:t>等费用。</w:t>
      </w:r>
      <w:r>
        <w:rPr>
          <w:rFonts w:hAnsi="宋体"/>
          <w:bCs/>
          <w:color w:val="auto"/>
          <w:sz w:val="24"/>
          <w:highlight w:val="none"/>
        </w:rPr>
        <w:t>即为完成本项目服务及响应磋商文件采购要求所</w:t>
      </w:r>
      <w:r>
        <w:rPr>
          <w:bCs/>
          <w:color w:val="auto"/>
          <w:sz w:val="24"/>
          <w:highlight w:val="none"/>
        </w:rPr>
        <w:t>发生的全部</w:t>
      </w:r>
      <w:r>
        <w:rPr>
          <w:rFonts w:hAnsi="宋体"/>
          <w:bCs/>
          <w:color w:val="auto"/>
          <w:sz w:val="24"/>
          <w:highlight w:val="none"/>
        </w:rPr>
        <w:t>有费用。</w:t>
      </w:r>
    </w:p>
    <w:p w14:paraId="6CE7EA70">
      <w:pPr>
        <w:snapToGrid w:val="0"/>
        <w:spacing w:line="360" w:lineRule="auto"/>
        <w:ind w:firstLine="482" w:firstLineChars="200"/>
        <w:jc w:val="left"/>
        <w:rPr>
          <w:b/>
          <w:color w:val="auto"/>
          <w:sz w:val="24"/>
          <w:highlight w:val="none"/>
        </w:rPr>
      </w:pPr>
      <w:r>
        <w:rPr>
          <w:rFonts w:hint="eastAsia"/>
          <w:b/>
          <w:color w:val="auto"/>
          <w:sz w:val="24"/>
          <w:highlight w:val="none"/>
        </w:rPr>
        <w:t>四、响应文件的编制及装订</w:t>
      </w:r>
    </w:p>
    <w:p w14:paraId="41279E55">
      <w:pPr>
        <w:snapToGrid w:val="0"/>
        <w:spacing w:line="360" w:lineRule="auto"/>
        <w:ind w:firstLine="480" w:firstLineChars="200"/>
        <w:jc w:val="left"/>
        <w:rPr>
          <w:rFonts w:hint="eastAsia"/>
          <w:color w:val="auto"/>
          <w:sz w:val="24"/>
          <w:highlight w:val="none"/>
        </w:rPr>
      </w:pPr>
      <w:r>
        <w:rPr>
          <w:rFonts w:hint="eastAsia"/>
          <w:color w:val="auto"/>
          <w:sz w:val="24"/>
          <w:highlight w:val="none"/>
        </w:rPr>
        <w:t>1、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73B0642A">
      <w:pPr>
        <w:snapToGrid w:val="0"/>
        <w:spacing w:line="360" w:lineRule="auto"/>
        <w:ind w:firstLine="480" w:firstLineChars="200"/>
        <w:jc w:val="left"/>
        <w:rPr>
          <w:rFonts w:hint="eastAsia"/>
          <w:color w:val="auto"/>
          <w:sz w:val="24"/>
          <w:highlight w:val="none"/>
        </w:rPr>
      </w:pPr>
      <w:r>
        <w:rPr>
          <w:rFonts w:hint="eastAsia"/>
          <w:color w:val="auto"/>
          <w:sz w:val="24"/>
          <w:highlight w:val="none"/>
        </w:rPr>
        <w:t>2、</w:t>
      </w:r>
      <w:r>
        <w:rPr>
          <w:rFonts w:hint="eastAsia"/>
          <w:color w:val="auto"/>
          <w:sz w:val="24"/>
          <w:highlight w:val="none"/>
          <w:u w:val="thick" w:color="FF0000"/>
        </w:rPr>
        <w:t>电子投标文件 U 盘一份</w:t>
      </w:r>
      <w:r>
        <w:rPr>
          <w:rFonts w:hint="eastAsia"/>
          <w:color w:val="auto"/>
          <w:sz w:val="24"/>
          <w:highlight w:val="none"/>
        </w:rPr>
        <w:t>。电子投标文件 U 盘单独密封，封袋上加盖投标人单位公章和法定代表人印章。投标人提供的纸质投标文件与电子投标文件（存储介质使用 U 盘）必须保持完全一致。</w:t>
      </w:r>
    </w:p>
    <w:p w14:paraId="07CB60F4">
      <w:pPr>
        <w:snapToGrid w:val="0"/>
        <w:spacing w:line="360" w:lineRule="auto"/>
        <w:ind w:firstLine="482" w:firstLineChars="200"/>
        <w:jc w:val="left"/>
        <w:rPr>
          <w:rFonts w:hint="eastAsia"/>
          <w:b/>
          <w:color w:val="auto"/>
          <w:sz w:val="24"/>
          <w:highlight w:val="none"/>
        </w:rPr>
      </w:pPr>
      <w:r>
        <w:rPr>
          <w:rFonts w:hint="eastAsia"/>
          <w:b/>
          <w:color w:val="auto"/>
          <w:sz w:val="24"/>
          <w:highlight w:val="none"/>
          <w:lang w:val="zh-CN"/>
        </w:rPr>
        <w:t>五、响应文件的份数和签署</w:t>
      </w:r>
    </w:p>
    <w:p w14:paraId="434E53CF">
      <w:pPr>
        <w:snapToGrid w:val="0"/>
        <w:spacing w:line="360" w:lineRule="auto"/>
        <w:ind w:firstLine="480" w:firstLineChars="200"/>
        <w:jc w:val="left"/>
        <w:rPr>
          <w:color w:val="auto"/>
          <w:sz w:val="24"/>
          <w:highlight w:val="none"/>
        </w:rPr>
      </w:pPr>
      <w:r>
        <w:rPr>
          <w:color w:val="auto"/>
          <w:sz w:val="24"/>
          <w:highlight w:val="none"/>
        </w:rPr>
        <w:t>1</w:t>
      </w:r>
      <w:r>
        <w:rPr>
          <w:rFonts w:hint="eastAsia"/>
          <w:color w:val="auto"/>
          <w:sz w:val="24"/>
          <w:highlight w:val="none"/>
        </w:rPr>
        <w:t>、响应文件由：</w:t>
      </w:r>
      <w:r>
        <w:rPr>
          <w:color w:val="auto"/>
          <w:sz w:val="24"/>
          <w:highlight w:val="none"/>
        </w:rPr>
        <w:fldChar w:fldCharType="begin"/>
      </w:r>
      <w:r>
        <w:rPr>
          <w:color w:val="auto"/>
          <w:sz w:val="24"/>
          <w:highlight w:val="none"/>
        </w:rPr>
        <w:instrText xml:space="preserve"> = 1 \* GB3 </w:instrText>
      </w:r>
      <w:r>
        <w:rPr>
          <w:color w:val="auto"/>
          <w:sz w:val="24"/>
          <w:highlight w:val="none"/>
        </w:rPr>
        <w:fldChar w:fldCharType="separate"/>
      </w:r>
      <w:r>
        <w:rPr>
          <w:rFonts w:hint="eastAsia"/>
          <w:color w:val="auto"/>
          <w:sz w:val="24"/>
          <w:highlight w:val="none"/>
        </w:rPr>
        <w:t>①</w:t>
      </w:r>
      <w:r>
        <w:rPr>
          <w:color w:val="auto"/>
          <w:sz w:val="24"/>
          <w:highlight w:val="none"/>
        </w:rPr>
        <w:fldChar w:fldCharType="end"/>
      </w:r>
      <w:r>
        <w:rPr>
          <w:rFonts w:hint="eastAsia"/>
          <w:color w:val="auto"/>
          <w:sz w:val="24"/>
          <w:highlight w:val="none"/>
        </w:rPr>
        <w:t>资格审查文件、</w:t>
      </w:r>
      <w:r>
        <w:rPr>
          <w:color w:val="auto"/>
          <w:sz w:val="24"/>
          <w:highlight w:val="none"/>
        </w:rPr>
        <w:fldChar w:fldCharType="begin"/>
      </w:r>
      <w:r>
        <w:rPr>
          <w:color w:val="auto"/>
          <w:sz w:val="24"/>
          <w:highlight w:val="none"/>
        </w:rPr>
        <w:instrText xml:space="preserve"> = 2 \* GB3 </w:instrText>
      </w:r>
      <w:r>
        <w:rPr>
          <w:color w:val="auto"/>
          <w:sz w:val="24"/>
          <w:highlight w:val="none"/>
        </w:rPr>
        <w:fldChar w:fldCharType="separate"/>
      </w:r>
      <w:r>
        <w:rPr>
          <w:rFonts w:hint="eastAsia"/>
          <w:color w:val="auto"/>
          <w:sz w:val="24"/>
          <w:highlight w:val="none"/>
        </w:rPr>
        <w:t>②</w:t>
      </w:r>
      <w:r>
        <w:rPr>
          <w:color w:val="auto"/>
          <w:sz w:val="24"/>
          <w:highlight w:val="none"/>
        </w:rPr>
        <w:fldChar w:fldCharType="end"/>
      </w:r>
      <w:r>
        <w:rPr>
          <w:rFonts w:hint="eastAsia"/>
          <w:color w:val="auto"/>
          <w:sz w:val="24"/>
          <w:highlight w:val="none"/>
        </w:rPr>
        <w:t>技术商务响应文件、</w:t>
      </w:r>
      <w:r>
        <w:rPr>
          <w:color w:val="auto"/>
          <w:sz w:val="24"/>
          <w:highlight w:val="none"/>
        </w:rPr>
        <w:fldChar w:fldCharType="begin"/>
      </w:r>
      <w:r>
        <w:rPr>
          <w:color w:val="auto"/>
          <w:sz w:val="24"/>
          <w:highlight w:val="none"/>
        </w:rPr>
        <w:instrText xml:space="preserve"> = 3 \* GB3 </w:instrText>
      </w:r>
      <w:r>
        <w:rPr>
          <w:color w:val="auto"/>
          <w:sz w:val="24"/>
          <w:highlight w:val="none"/>
        </w:rPr>
        <w:fldChar w:fldCharType="separate"/>
      </w:r>
      <w:r>
        <w:rPr>
          <w:rFonts w:hint="eastAsia"/>
          <w:color w:val="auto"/>
          <w:sz w:val="24"/>
          <w:highlight w:val="none"/>
        </w:rPr>
        <w:t>③</w:t>
      </w:r>
      <w:r>
        <w:rPr>
          <w:color w:val="auto"/>
          <w:sz w:val="24"/>
          <w:highlight w:val="none"/>
        </w:rPr>
        <w:fldChar w:fldCharType="end"/>
      </w:r>
      <w:r>
        <w:rPr>
          <w:rFonts w:hint="eastAsia"/>
          <w:color w:val="auto"/>
          <w:sz w:val="24"/>
          <w:highlight w:val="none"/>
        </w:rPr>
        <w:t>报价响应文件、④电子投标文件，共</w:t>
      </w:r>
      <w:r>
        <w:rPr>
          <w:color w:val="auto"/>
          <w:sz w:val="24"/>
          <w:highlight w:val="none"/>
        </w:rPr>
        <w:t>4</w:t>
      </w:r>
      <w:r>
        <w:rPr>
          <w:rFonts w:hint="eastAsia"/>
          <w:color w:val="auto"/>
          <w:sz w:val="24"/>
          <w:highlight w:val="none"/>
        </w:rPr>
        <w:t>部分组成（以下由文件序号代称）。</w:t>
      </w:r>
    </w:p>
    <w:p w14:paraId="0FA64D50">
      <w:pPr>
        <w:snapToGrid w:val="0"/>
        <w:spacing w:line="360" w:lineRule="auto"/>
        <w:ind w:firstLine="480" w:firstLineChars="200"/>
        <w:jc w:val="left"/>
        <w:rPr>
          <w:color w:val="auto"/>
          <w:sz w:val="24"/>
          <w:highlight w:val="none"/>
        </w:rPr>
      </w:pPr>
      <w:r>
        <w:rPr>
          <w:color w:val="auto"/>
          <w:sz w:val="24"/>
          <w:highlight w:val="none"/>
        </w:rPr>
        <w:t>2、供应商应准备</w:t>
      </w:r>
      <w:r>
        <w:rPr>
          <w:color w:val="auto"/>
          <w:sz w:val="24"/>
          <w:highlight w:val="none"/>
          <w:u w:val="thick" w:color="FF0000"/>
        </w:rPr>
        <w:t xml:space="preserve"> 叁 </w:t>
      </w:r>
      <w:r>
        <w:rPr>
          <w:color w:val="auto"/>
          <w:sz w:val="24"/>
          <w:highlight w:val="none"/>
        </w:rPr>
        <w:t xml:space="preserve">份完整的投标文件，其中正本 </w:t>
      </w:r>
      <w:r>
        <w:rPr>
          <w:color w:val="auto"/>
          <w:sz w:val="24"/>
          <w:highlight w:val="none"/>
          <w:u w:val="thick" w:color="FF0000"/>
        </w:rPr>
        <w:t>壹</w:t>
      </w:r>
      <w:r>
        <w:rPr>
          <w:color w:val="auto"/>
          <w:sz w:val="24"/>
          <w:highlight w:val="none"/>
        </w:rPr>
        <w:t xml:space="preserve"> 份，副本 </w:t>
      </w:r>
      <w:r>
        <w:rPr>
          <w:color w:val="auto"/>
          <w:sz w:val="24"/>
          <w:highlight w:val="none"/>
          <w:u w:val="thick" w:color="FF0000"/>
        </w:rPr>
        <w:t>贰</w:t>
      </w:r>
      <w:r>
        <w:rPr>
          <w:rFonts w:hint="eastAsia"/>
          <w:color w:val="auto"/>
          <w:sz w:val="24"/>
          <w:highlight w:val="none"/>
        </w:rPr>
        <w:t xml:space="preserve"> </w:t>
      </w:r>
      <w:r>
        <w:rPr>
          <w:color w:val="auto"/>
          <w:sz w:val="24"/>
          <w:highlight w:val="none"/>
        </w:rPr>
        <w:t>份</w:t>
      </w:r>
      <w:r>
        <w:rPr>
          <w:rFonts w:hint="eastAsia"/>
          <w:color w:val="auto"/>
          <w:sz w:val="24"/>
          <w:highlight w:val="none"/>
        </w:rPr>
        <w:t>。</w:t>
      </w:r>
    </w:p>
    <w:p w14:paraId="7D446353">
      <w:pPr>
        <w:snapToGrid w:val="0"/>
        <w:spacing w:line="360" w:lineRule="auto"/>
        <w:ind w:firstLine="480" w:firstLineChars="200"/>
        <w:jc w:val="left"/>
        <w:rPr>
          <w:color w:val="auto"/>
          <w:sz w:val="24"/>
          <w:highlight w:val="none"/>
        </w:rPr>
      </w:pPr>
      <w:r>
        <w:rPr>
          <w:color w:val="auto"/>
          <w:sz w:val="24"/>
          <w:highlight w:val="none"/>
        </w:rPr>
        <w:t>3</w:t>
      </w:r>
      <w:r>
        <w:rPr>
          <w:rFonts w:hint="eastAsia"/>
          <w:color w:val="auto"/>
          <w:sz w:val="24"/>
          <w:highlight w:val="none"/>
        </w:rPr>
        <w:t>、在每份响应文件上要明确标注项目名称、对应的响应文件名称、供应商的全称、日期、“正本”、“副本”字样。“正本”和“副本”若有差异，概以“正本”为准。</w:t>
      </w:r>
    </w:p>
    <w:p w14:paraId="36979136">
      <w:pPr>
        <w:snapToGrid w:val="0"/>
        <w:spacing w:line="360" w:lineRule="auto"/>
        <w:ind w:firstLine="480" w:firstLineChars="200"/>
        <w:jc w:val="left"/>
        <w:rPr>
          <w:color w:val="auto"/>
          <w:sz w:val="24"/>
          <w:highlight w:val="none"/>
        </w:rPr>
      </w:pPr>
      <w:r>
        <w:rPr>
          <w:color w:val="auto"/>
          <w:sz w:val="24"/>
          <w:highlight w:val="none"/>
        </w:rPr>
        <w:t>4</w:t>
      </w:r>
      <w:r>
        <w:rPr>
          <w:rFonts w:hint="eastAsia"/>
          <w:color w:val="auto"/>
          <w:sz w:val="24"/>
          <w:highlight w:val="none"/>
        </w:rPr>
        <w:t>、供应商可将响应文件正副本统一密封或分别密封，如正本和副本分别密封的，应在封袋上标明正、副本字样。</w:t>
      </w:r>
    </w:p>
    <w:p w14:paraId="5B87960F">
      <w:pPr>
        <w:snapToGrid w:val="0"/>
        <w:spacing w:line="360" w:lineRule="auto"/>
        <w:ind w:firstLine="480" w:firstLineChars="200"/>
        <w:jc w:val="left"/>
        <w:rPr>
          <w:color w:val="auto"/>
          <w:sz w:val="24"/>
          <w:highlight w:val="none"/>
        </w:rPr>
      </w:pPr>
      <w:r>
        <w:rPr>
          <w:color w:val="auto"/>
          <w:sz w:val="24"/>
          <w:highlight w:val="none"/>
        </w:rPr>
        <w:t>5</w:t>
      </w:r>
      <w:r>
        <w:rPr>
          <w:rFonts w:hint="eastAsia"/>
          <w:color w:val="auto"/>
          <w:sz w:val="24"/>
          <w:highlight w:val="none"/>
        </w:rPr>
        <w:t>、响应文件中的所有“正本”，其正文内容须按磋商文件要求由供应商法定代表人或被授权人签字（或盖章）并加盖单位公章。“副本”可复印，但须加盖单位公章。</w:t>
      </w:r>
    </w:p>
    <w:p w14:paraId="4491BE5A">
      <w:pPr>
        <w:snapToGrid w:val="0"/>
        <w:spacing w:line="360" w:lineRule="auto"/>
        <w:ind w:firstLine="482" w:firstLineChars="200"/>
        <w:jc w:val="left"/>
        <w:rPr>
          <w:b/>
          <w:color w:val="auto"/>
          <w:sz w:val="24"/>
          <w:highlight w:val="none"/>
        </w:rPr>
      </w:pPr>
      <w:r>
        <w:rPr>
          <w:b/>
          <w:color w:val="auto"/>
          <w:sz w:val="24"/>
          <w:highlight w:val="none"/>
        </w:rPr>
        <w:t>六、响应文件的递交时间</w:t>
      </w:r>
    </w:p>
    <w:p w14:paraId="4689A546">
      <w:pPr>
        <w:snapToGrid w:val="0"/>
        <w:spacing w:line="360" w:lineRule="auto"/>
        <w:ind w:firstLine="480" w:firstLineChars="200"/>
        <w:jc w:val="left"/>
        <w:rPr>
          <w:color w:val="auto"/>
          <w:sz w:val="24"/>
          <w:highlight w:val="none"/>
        </w:rPr>
      </w:pPr>
      <w:r>
        <w:rPr>
          <w:color w:val="auto"/>
          <w:sz w:val="24"/>
          <w:highlight w:val="none"/>
        </w:rPr>
        <w:t>供应商必须在规定的响应文件接收截止时间前送达采购人。采购人将拒绝接收在截止时间后递交的响应文件。</w:t>
      </w:r>
    </w:p>
    <w:p w14:paraId="591516F3">
      <w:pPr>
        <w:snapToGrid w:val="0"/>
        <w:spacing w:line="360" w:lineRule="auto"/>
        <w:ind w:firstLine="482" w:firstLineChars="200"/>
        <w:jc w:val="left"/>
        <w:rPr>
          <w:b/>
          <w:color w:val="auto"/>
          <w:sz w:val="24"/>
          <w:highlight w:val="none"/>
        </w:rPr>
      </w:pPr>
      <w:r>
        <w:rPr>
          <w:b/>
          <w:color w:val="auto"/>
          <w:sz w:val="24"/>
          <w:highlight w:val="none"/>
        </w:rPr>
        <w:t>七、磋商保证金</w:t>
      </w:r>
    </w:p>
    <w:p w14:paraId="4A6324BE">
      <w:pPr>
        <w:spacing w:line="360" w:lineRule="auto"/>
        <w:ind w:firstLine="480" w:firstLineChars="200"/>
        <w:jc w:val="left"/>
        <w:rPr>
          <w:color w:val="auto"/>
          <w:sz w:val="24"/>
          <w:highlight w:val="none"/>
        </w:rPr>
      </w:pPr>
      <w:r>
        <w:rPr>
          <w:color w:val="auto"/>
          <w:sz w:val="24"/>
          <w:highlight w:val="none"/>
        </w:rPr>
        <w:t>本项目不收取磋商保证金。</w:t>
      </w:r>
    </w:p>
    <w:p w14:paraId="3BEBA967">
      <w:pPr>
        <w:spacing w:line="360" w:lineRule="auto"/>
        <w:ind w:firstLine="482" w:firstLineChars="200"/>
        <w:jc w:val="left"/>
        <w:rPr>
          <w:b/>
          <w:color w:val="auto"/>
          <w:sz w:val="24"/>
          <w:highlight w:val="none"/>
        </w:rPr>
      </w:pPr>
      <w:r>
        <w:rPr>
          <w:b/>
          <w:color w:val="auto"/>
          <w:sz w:val="24"/>
          <w:highlight w:val="none"/>
        </w:rPr>
        <w:t>八、响应文件有效期</w:t>
      </w:r>
    </w:p>
    <w:p w14:paraId="0ADD96FB">
      <w:pPr>
        <w:spacing w:line="360" w:lineRule="auto"/>
        <w:ind w:firstLine="480" w:firstLineChars="200"/>
        <w:jc w:val="left"/>
        <w:rPr>
          <w:color w:val="auto"/>
          <w:sz w:val="24"/>
          <w:highlight w:val="none"/>
        </w:rPr>
      </w:pPr>
      <w:r>
        <w:rPr>
          <w:color w:val="auto"/>
          <w:sz w:val="24"/>
          <w:highlight w:val="none"/>
        </w:rPr>
        <w:t>响应文件自投标截止时间起</w:t>
      </w:r>
      <w:r>
        <w:rPr>
          <w:rFonts w:hint="eastAsia"/>
          <w:color w:val="auto"/>
          <w:sz w:val="24"/>
          <w:highlight w:val="none"/>
          <w:lang w:val="en-US" w:eastAsia="zh-CN"/>
        </w:rPr>
        <w:t>60</w:t>
      </w:r>
      <w:r>
        <w:rPr>
          <w:color w:val="auto"/>
          <w:sz w:val="24"/>
          <w:highlight w:val="none"/>
        </w:rPr>
        <w:t>个自然日内有效。磋商程序进行后，不论成交与否，所有已开启的响应文件均予不退，未开启的响应文件可退回。</w:t>
      </w:r>
    </w:p>
    <w:p w14:paraId="5A7D5CC7">
      <w:pPr>
        <w:spacing w:line="360" w:lineRule="auto"/>
        <w:ind w:firstLine="482" w:firstLineChars="200"/>
        <w:jc w:val="left"/>
        <w:rPr>
          <w:b/>
          <w:color w:val="auto"/>
          <w:sz w:val="24"/>
          <w:highlight w:val="none"/>
        </w:rPr>
      </w:pPr>
      <w:r>
        <w:rPr>
          <w:rFonts w:hAnsi="宋体"/>
          <w:b/>
          <w:color w:val="auto"/>
          <w:sz w:val="24"/>
          <w:highlight w:val="none"/>
        </w:rPr>
        <w:t>九、磋商费用</w:t>
      </w:r>
    </w:p>
    <w:p w14:paraId="17B2737F">
      <w:pPr>
        <w:spacing w:line="360" w:lineRule="auto"/>
        <w:ind w:firstLine="480" w:firstLineChars="200"/>
        <w:jc w:val="left"/>
        <w:rPr>
          <w:color w:val="auto"/>
          <w:sz w:val="24"/>
          <w:highlight w:val="none"/>
        </w:rPr>
      </w:pPr>
      <w:r>
        <w:rPr>
          <w:color w:val="auto"/>
          <w:sz w:val="24"/>
          <w:highlight w:val="none"/>
        </w:rPr>
        <w:t>1、供应商应承担其编制响应文件以及递交响应文件所涉及的一切费用。无论磋商结果如何，采购人对上述费用不负任何责任。</w:t>
      </w:r>
    </w:p>
    <w:p w14:paraId="7B3047C3">
      <w:pPr>
        <w:spacing w:line="360" w:lineRule="auto"/>
        <w:ind w:firstLine="480" w:firstLineChars="200"/>
        <w:jc w:val="left"/>
        <w:rPr>
          <w:color w:val="auto"/>
          <w:sz w:val="24"/>
          <w:highlight w:val="none"/>
        </w:rPr>
      </w:pPr>
      <w:r>
        <w:rPr>
          <w:color w:val="auto"/>
          <w:sz w:val="24"/>
          <w:highlight w:val="none"/>
        </w:rPr>
        <w:t>2、本次磋商采购代理服务费人民币</w:t>
      </w:r>
      <w:r>
        <w:rPr>
          <w:rFonts w:hint="eastAsia"/>
          <w:color w:val="auto"/>
          <w:sz w:val="24"/>
          <w:highlight w:val="none"/>
          <w:lang w:val="en-US" w:eastAsia="zh-CN"/>
        </w:rPr>
        <w:t>3</w:t>
      </w:r>
      <w:r>
        <w:rPr>
          <w:color w:val="auto"/>
          <w:sz w:val="24"/>
          <w:highlight w:val="none"/>
        </w:rPr>
        <w:t>000元整，供应商须综合考虑在响应报价内（不得单列），由成交供应商承担并在领取成交通知书前支付给采购代理机构。</w:t>
      </w:r>
    </w:p>
    <w:p w14:paraId="24470BF4">
      <w:pPr>
        <w:spacing w:line="360" w:lineRule="auto"/>
        <w:ind w:firstLine="482" w:firstLineChars="200"/>
        <w:jc w:val="left"/>
        <w:rPr>
          <w:b/>
          <w:color w:val="auto"/>
          <w:sz w:val="24"/>
          <w:highlight w:val="none"/>
        </w:rPr>
      </w:pPr>
      <w:r>
        <w:rPr>
          <w:rFonts w:hint="eastAsia" w:ascii="Times New Roman" w:hAnsi="宋体" w:eastAsia="宋体" w:cs="Times New Roman"/>
          <w:b/>
          <w:color w:val="auto"/>
          <w:sz w:val="24"/>
          <w:highlight w:val="none"/>
          <w:lang w:val="en-US" w:eastAsia="zh-CN"/>
        </w:rPr>
        <w:t>十、</w:t>
      </w:r>
      <w:r>
        <w:rPr>
          <w:b/>
          <w:color w:val="auto"/>
          <w:sz w:val="24"/>
          <w:highlight w:val="none"/>
        </w:rPr>
        <w:t>未尽事宜</w:t>
      </w:r>
    </w:p>
    <w:p w14:paraId="0CE0AAF7">
      <w:pPr>
        <w:snapToGrid w:val="0"/>
        <w:spacing w:line="360" w:lineRule="auto"/>
        <w:ind w:firstLine="480" w:firstLineChars="200"/>
        <w:jc w:val="left"/>
        <w:rPr>
          <w:color w:val="auto"/>
          <w:sz w:val="24"/>
          <w:highlight w:val="none"/>
        </w:rPr>
      </w:pPr>
      <w:r>
        <w:rPr>
          <w:color w:val="auto"/>
          <w:sz w:val="24"/>
          <w:highlight w:val="none"/>
        </w:rPr>
        <w:t>按《中华人民共和国政府采购法》、《政府采购竞争性磋商采购方式管理暂行办法》及其他有关法律法规的规定执行。</w:t>
      </w:r>
    </w:p>
    <w:p w14:paraId="10CA881E">
      <w:pPr>
        <w:snapToGrid w:val="0"/>
        <w:spacing w:line="300" w:lineRule="auto"/>
        <w:jc w:val="center"/>
        <w:outlineLvl w:val="0"/>
        <w:rPr>
          <w:b/>
          <w:color w:val="auto"/>
          <w:sz w:val="36"/>
          <w:szCs w:val="36"/>
          <w:highlight w:val="none"/>
        </w:rPr>
      </w:pPr>
      <w:r>
        <w:rPr>
          <w:color w:val="auto"/>
          <w:sz w:val="24"/>
          <w:highlight w:val="none"/>
        </w:rPr>
        <w:br w:type="page"/>
      </w:r>
      <w:r>
        <w:rPr>
          <w:rFonts w:hAnsi="宋体"/>
          <w:b/>
          <w:color w:val="auto"/>
          <w:sz w:val="36"/>
          <w:szCs w:val="36"/>
          <w:highlight w:val="none"/>
        </w:rPr>
        <w:t>第三部分</w:t>
      </w:r>
      <w:r>
        <w:rPr>
          <w:b/>
          <w:color w:val="auto"/>
          <w:sz w:val="36"/>
          <w:szCs w:val="36"/>
          <w:highlight w:val="none"/>
        </w:rPr>
        <w:t xml:space="preserve">  </w:t>
      </w:r>
      <w:r>
        <w:rPr>
          <w:rFonts w:hAnsi="宋体"/>
          <w:b/>
          <w:color w:val="auto"/>
          <w:sz w:val="36"/>
          <w:szCs w:val="36"/>
          <w:highlight w:val="none"/>
        </w:rPr>
        <w:t>项目需求说明</w:t>
      </w:r>
    </w:p>
    <w:p w14:paraId="4FD09D4D">
      <w:pPr>
        <w:snapToGrid w:val="0"/>
        <w:spacing w:line="360" w:lineRule="auto"/>
        <w:ind w:firstLine="482" w:firstLineChars="200"/>
        <w:jc w:val="left"/>
        <w:rPr>
          <w:color w:val="auto"/>
          <w:sz w:val="24"/>
          <w:highlight w:val="none"/>
        </w:rPr>
      </w:pPr>
      <w:r>
        <w:rPr>
          <w:rFonts w:hAnsi="宋体"/>
          <w:b/>
          <w:color w:val="auto"/>
          <w:sz w:val="24"/>
          <w:highlight w:val="none"/>
        </w:rPr>
        <w:t>请供应商在制作响应文件时仔细研究项目需求说明</w:t>
      </w:r>
      <w:r>
        <w:rPr>
          <w:rFonts w:hAnsi="宋体"/>
          <w:color w:val="auto"/>
          <w:sz w:val="24"/>
          <w:highlight w:val="none"/>
        </w:rPr>
        <w:t>。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成交供应商承担。如供应商提供的货物和服务同采购单位提出的项目需求说明中的技术、商务要求不同的，必须明示，如不明示的视同完全响应。</w:t>
      </w:r>
    </w:p>
    <w:p w14:paraId="7DFEFCEC">
      <w:pPr>
        <w:snapToGrid w:val="0"/>
        <w:spacing w:line="360" w:lineRule="auto"/>
        <w:ind w:firstLine="482" w:firstLineChars="200"/>
        <w:jc w:val="left"/>
        <w:rPr>
          <w:rFonts w:hint="eastAsia" w:hAnsi="宋体"/>
          <w:b/>
          <w:bCs/>
          <w:color w:val="auto"/>
          <w:sz w:val="24"/>
          <w:highlight w:val="none"/>
          <w:lang w:val="en-US" w:eastAsia="zh-CN"/>
        </w:rPr>
      </w:pPr>
      <w:r>
        <w:rPr>
          <w:rFonts w:hint="eastAsia" w:hAnsi="宋体"/>
          <w:b/>
          <w:bCs/>
          <w:color w:val="auto"/>
          <w:sz w:val="24"/>
          <w:highlight w:val="none"/>
          <w:lang w:val="en-US" w:eastAsia="zh-CN"/>
        </w:rPr>
        <w:t>一、项目背景</w:t>
      </w:r>
    </w:p>
    <w:p w14:paraId="74CA0D89">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rPr>
        <w:t>为提升全市环评文件编制和技术评估质量，规范审批流程，全面提升全市环评工作质效，严格环保准入门槛，根据《中华人民共和国环境影响评价法》《建设项目环境保护管理条例》《关于进一步加强环境影响报告书（表）编制质量监管工作的通知》《建设项目环境影响评价报告书（表）监督管理办法》《南通市建设项目环境影响评估工作规定（试行）》《南通市建设项目环境影响评价技术评审专家管理办法（试行）》《南通市建设项目环境影响报告书（表）编制质量评分办法（试行）》等有关规定，南通市生态环境局拟对202</w:t>
      </w:r>
      <w:r>
        <w:rPr>
          <w:rFonts w:hint="eastAsia" w:hAnsi="宋体"/>
          <w:color w:val="auto"/>
          <w:sz w:val="24"/>
          <w:highlight w:val="none"/>
          <w:lang w:val="en-US" w:eastAsia="zh-CN"/>
        </w:rPr>
        <w:t>6</w:t>
      </w:r>
      <w:r>
        <w:rPr>
          <w:rFonts w:hint="eastAsia" w:hAnsi="宋体"/>
          <w:color w:val="auto"/>
          <w:sz w:val="24"/>
          <w:highlight w:val="none"/>
        </w:rPr>
        <w:t>年南通市各县（市、区）</w:t>
      </w:r>
      <w:r>
        <w:rPr>
          <w:rFonts w:hint="eastAsia" w:hAnsi="宋体"/>
          <w:color w:val="auto"/>
          <w:sz w:val="24"/>
          <w:highlight w:val="none"/>
          <w:lang w:eastAsia="zh-CN"/>
        </w:rPr>
        <w:t>环评文件抽查技术复核</w:t>
      </w:r>
      <w:r>
        <w:rPr>
          <w:rFonts w:hint="eastAsia" w:hAnsi="宋体"/>
          <w:color w:val="auto"/>
          <w:sz w:val="24"/>
          <w:highlight w:val="none"/>
        </w:rPr>
        <w:t>及环境影响报告表技术评估第三方技术服务进行竞争性磋商采购。</w:t>
      </w:r>
    </w:p>
    <w:p w14:paraId="6ED69CFF">
      <w:pPr>
        <w:snapToGrid w:val="0"/>
        <w:spacing w:line="360" w:lineRule="auto"/>
        <w:ind w:firstLine="482" w:firstLineChars="200"/>
        <w:jc w:val="left"/>
        <w:rPr>
          <w:rFonts w:hint="eastAsia" w:hAnsi="宋体"/>
          <w:b/>
          <w:bCs/>
          <w:color w:val="auto"/>
          <w:sz w:val="24"/>
          <w:highlight w:val="none"/>
          <w:lang w:val="en-US" w:eastAsia="zh-CN"/>
        </w:rPr>
      </w:pPr>
      <w:r>
        <w:rPr>
          <w:rFonts w:hint="eastAsia" w:hAnsi="宋体"/>
          <w:b/>
          <w:bCs/>
          <w:color w:val="auto"/>
          <w:sz w:val="24"/>
          <w:highlight w:val="none"/>
          <w:lang w:val="en-US" w:eastAsia="zh-CN"/>
        </w:rPr>
        <w:t>二、项目需求</w:t>
      </w:r>
    </w:p>
    <w:p w14:paraId="582DD2EE">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1.工作要求</w:t>
      </w:r>
    </w:p>
    <w:p w14:paraId="411D6858">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1.1遵循客观、公开、公正的原则，对全市环评审批部门负责审批的建设项目环境影响评价文件开展技术复核，为管理部门对环评单位、评估单位考核，企业监督管理提供技术支撑。</w:t>
      </w:r>
    </w:p>
    <w:p w14:paraId="6990BDE4">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1.2根据国家及地方环境保护法律、法规、部门规章以及标准、技术规范的规定和要求开展工作。</w:t>
      </w:r>
    </w:p>
    <w:p w14:paraId="2DA22241">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2.工作内容</w:t>
      </w:r>
    </w:p>
    <w:p w14:paraId="05B0E558">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2.1 2026年南通市各县（市、区）环评文件抽查技术复核</w:t>
      </w:r>
    </w:p>
    <w:p w14:paraId="330964D4">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2.1.1环评文件编制质量复核</w:t>
      </w:r>
    </w:p>
    <w:p w14:paraId="0DBA5763">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2.1.1.1根据环评技术导则规范要求，对各县（市、区）环评审批部门审批的环评文件编制质量进行技术复核。复核内容包括以下内容：</w:t>
      </w:r>
    </w:p>
    <w:p w14:paraId="48BED85A">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（1）是否符合国家和地方相关法律法规、环境政策、规划及规划环评等。</w:t>
      </w:r>
    </w:p>
    <w:p w14:paraId="05D21DED">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（2）评价等级、评价范围、评价标准是否正确，重大环境问题、重要环境敏感目标、环境风险因素识别是否全面。</w:t>
      </w:r>
    </w:p>
    <w:p w14:paraId="1FE1349C">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（3）工程分析是否体现行业特征，选址选线是否合理。</w:t>
      </w:r>
    </w:p>
    <w:p w14:paraId="21C2146E">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（4）源强分析和污染物核算是否准确，所用技术方法是否正确，影响预测是否科学。</w:t>
      </w:r>
    </w:p>
    <w:p w14:paraId="10ACF91E">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（5）提出的环境保护措施及环境风险防范措施是否合理可行。</w:t>
      </w:r>
    </w:p>
    <w:p w14:paraId="0F40F822">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（6）评价结论是否正确。</w:t>
      </w:r>
    </w:p>
    <w:p w14:paraId="3EDB736C">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（7）主持编制机构和主持编制人员是否满足相关管理要求。</w:t>
      </w:r>
    </w:p>
    <w:p w14:paraId="2077F826">
      <w:pPr>
        <w:snapToGrid w:val="0"/>
        <w:spacing w:line="360" w:lineRule="auto"/>
        <w:ind w:firstLine="480" w:firstLineChars="200"/>
        <w:jc w:val="left"/>
        <w:rPr>
          <w:rFonts w:hint="eastAsia" w:hAnsi="宋体"/>
          <w:color w:val="auto"/>
          <w:sz w:val="24"/>
          <w:highlight w:val="none"/>
          <w:lang w:val="en-US" w:eastAsia="zh-CN"/>
        </w:rPr>
      </w:pPr>
      <w:bookmarkStart w:id="11" w:name="OLE_LINK2"/>
      <w:r>
        <w:rPr>
          <w:rFonts w:hint="eastAsia" w:hAnsi="宋体"/>
          <w:color w:val="auto"/>
          <w:sz w:val="24"/>
          <w:highlight w:val="none"/>
          <w:lang w:val="en-US" w:eastAsia="zh-CN"/>
        </w:rPr>
        <w:t>2.1.1.2</w:t>
      </w:r>
      <w:bookmarkEnd w:id="11"/>
      <w:r>
        <w:rPr>
          <w:rFonts w:hint="eastAsia" w:hAnsi="宋体"/>
          <w:color w:val="auto"/>
          <w:sz w:val="24"/>
          <w:highlight w:val="none"/>
          <w:lang w:val="en-US" w:eastAsia="zh-CN"/>
        </w:rPr>
        <w:t>委托评估机构开展环评文件技术复核工作，应在符合以下条件：</w:t>
      </w:r>
    </w:p>
    <w:p w14:paraId="37CADC4D">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（1）为独立的法人单位，具备固定的工作场所、必要的办公条件以及档案资料管理设施、场所；</w:t>
      </w:r>
    </w:p>
    <w:p w14:paraId="4B1DBB3B">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（2）非环境影响评价（含建设项目环评、规划环评）编制单位；2025年-2026年期间未从事南通市各县（市、区）环评报告技术评估工作；</w:t>
      </w:r>
    </w:p>
    <w:p w14:paraId="012DDCF7">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3）评估机构应具有独立开展技术评估的能力，配备生态环境相关专业（或核与辐射相关专业）高级及以上职称或具有环境影响评价从业经验的专职评估人员（原则上至少一名人员取得环境影响评价工程师职业资格证书），上述人员需全程参与项目评估工作；</w:t>
      </w:r>
    </w:p>
    <w:p w14:paraId="2A97A015">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（4）具有规范的技术评估工作流程和健全的技术评估质量全过程控制制度，形成评估意见编制、审核、审定三级及以上质量控制体系；</w:t>
      </w:r>
    </w:p>
    <w:p w14:paraId="77B3179A">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（5）具有健全的技术评估档案管理体系。</w:t>
      </w:r>
    </w:p>
    <w:p w14:paraId="3F229365">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2.1.2环评文件评估质量复核</w:t>
      </w:r>
    </w:p>
    <w:p w14:paraId="0FE6496D">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技术评估是否符合江苏省建设项目环境影响技术评估工作规程，技术评估是否有重大疏漏，技术评估结论是合理。</w:t>
      </w:r>
    </w:p>
    <w:p w14:paraId="329B73AA">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2.1.3环评审批规范性</w:t>
      </w:r>
    </w:p>
    <w:p w14:paraId="30C2210E">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审批权限是否有误，环评审批意见是否有重大疏漏</w:t>
      </w:r>
    </w:p>
    <w:p w14:paraId="5A9C5CC8">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2.1.4研究成果提交要求</w:t>
      </w:r>
    </w:p>
    <w:p w14:paraId="174531CB">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对环评文件编制质量进行技术复核，形成《南通市2026年环境影响评价技术复核报告》；</w:t>
      </w:r>
    </w:p>
    <w:p w14:paraId="451AA300">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提交成果数量和规格：《南通市2026年环境影响评价技术复核报告》电子稿和文本2套。</w:t>
      </w:r>
    </w:p>
    <w:p w14:paraId="0F43A440">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2.1.5 服务期自合同签订之日起一年。平均每季度抽查20本报告，全年共80本。</w:t>
      </w:r>
    </w:p>
    <w:p w14:paraId="25B8F219">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2.1.6 采购标的的其他技术、服务等要求</w:t>
      </w:r>
    </w:p>
    <w:p w14:paraId="1667EFE8">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投标供应商具有专业人员及设备、规范的评估规程、专业齐全的专家团队及相关业绩，建立信息化管理系统和廉政机制，具备较强的科研能力，能按照招标方项目管理规程，在规定的时限内完成工作任务，并配合招标方开展环评机构质量考核。</w:t>
      </w:r>
    </w:p>
    <w:p w14:paraId="1FDCE1FF">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2.2 2026年南通市建设项目环境影响评价报告表技术评估</w:t>
      </w:r>
    </w:p>
    <w:p w14:paraId="5E2569A7">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2.2.1应遵循“依法依规、科学规范、廉洁公平、客观公正、服务高效”原则开展环评文件技术评估工作，出具技术评估意见，并对评估意见负责。</w:t>
      </w:r>
    </w:p>
    <w:p w14:paraId="2E44E361">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2.2.2 委托评估机构开展环评文件技术评估工作，应在符合以下条件：</w:t>
      </w:r>
    </w:p>
    <w:p w14:paraId="38E45334">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（1）为独立的法人单位，具备固定的工作场所、必要的办公条件以及档案资料管理设施、场所；</w:t>
      </w:r>
    </w:p>
    <w:p w14:paraId="5128855C">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（2）非环境影响评价编制单位；</w:t>
      </w:r>
    </w:p>
    <w:p w14:paraId="52420B8F">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3）评估机构应具有独立开展技术评估的能力，配备生态环境相关专业（或核与辐射相关专业）高级及以上职称或具有环境影响评价从业经验的专职评估人员（原则上至少一名人员取得环境影响评价工程师职业资格证书），上述人员需全程参与项目评估工作；</w:t>
      </w:r>
    </w:p>
    <w:p w14:paraId="2C68936E">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（4）具有规范的技术评估工作流程和健全的技术评估质量全过程控制制度，形成评估意见编制、审核、审定三级及以上质量控制体系；</w:t>
      </w:r>
    </w:p>
    <w:p w14:paraId="656096B3">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（5）具有健全的技术评估档案管理体系。</w:t>
      </w:r>
    </w:p>
    <w:p w14:paraId="7C4DA4CB">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2.2.3委托评估机构及其人员须遵守下列规定</w:t>
      </w:r>
    </w:p>
    <w:p w14:paraId="07FDEB51">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（1）不得从事环评文件编制工作；</w:t>
      </w:r>
    </w:p>
    <w:p w14:paraId="35F371C9">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（2）技术评估工作所需费用由委托评估的环评审批部门按合同支付，不得向建设单位、环评单位收取或转嫁任何费用；</w:t>
      </w:r>
    </w:p>
    <w:p w14:paraId="4D973D57">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（3）严格遵守《建设项目环境影响评价行为准则与廉政规定》，制定并严格执行廉政管理规定；不得向建设单位、环评单位承诺技术评估结果；</w:t>
      </w:r>
    </w:p>
    <w:p w14:paraId="1D069DA0">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（4）严格按照生态环境保护相关法律、法规、规章、政策、标准、技术规范等开展技术评估工作，遵守本规定中技术评估总体程序、技术评估工作流程等要求；</w:t>
      </w:r>
    </w:p>
    <w:p w14:paraId="319EAFE5">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（5）执行“一次性告知”制度，不得反复多次对建设单位和环评单位提出额外的修改意见；</w:t>
      </w:r>
    </w:p>
    <w:p w14:paraId="3BD120D0">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（6）按要求做好对建设单位、环评单位的业务指导，不得出现故意刁难服务对象、徇私舞弊、滥用职权等行为。</w:t>
      </w:r>
    </w:p>
    <w:p w14:paraId="1E3B00F6">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2.2.4技术评估总体程序</w:t>
      </w:r>
    </w:p>
    <w:p w14:paraId="53E0B5E0">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对需要开展技术评估的环评文件，环评审批部门在收到环评文件后3个工作日内委托评估机构开展技术评估。评估机构接受委托后，按技术评估工作流程开展技术评估工作并出具评估意见，组织对环评文件编制质量进行评分。对建设项目环境影响报告表的技术评估（含环评文件修改时间）应在接受委托后15日内完成并提交评估意见。环评文件内容相对复杂的，评估机构可以向环评审批部门说明理由并提出书面申请，经同意后可以适当延长技术评估期限，延长时间不得超过10日。如遇需补充监测、补充论证、其他前置手续补办等特殊情形，环评审批部门需告知建设单位、环评单位，并督促尽快完成。</w:t>
      </w:r>
    </w:p>
    <w:p w14:paraId="55BC045D">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2.2.5技术评估工作流程。主要包括项目初审、现场踏勘、组织专家评审、环评文件修改、出具评估意见、资料存档等。</w:t>
      </w:r>
    </w:p>
    <w:p w14:paraId="23307F23">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1）项目初审。评估机构接受委托后，应明确一名项目经办人、一名协办人，初步审核环评文件，分析需关注的主要环境问题，明确技术评估重点。对环评文件存在《建设项目环境保护管理条例》第十一条所列问题的，可直接向委托机构出具退回环评文件的建议。如需召开技术评估会议的，评估机构应在接受委托后3个工作日内发出会议通知，5个工作日内组织专家对环评文件进行评审。</w:t>
      </w:r>
    </w:p>
    <w:p w14:paraId="09D4D084">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现场踏勘。采取实地踏勘、视频记录、遥感影像等方式，了解建设项目选址、选线所在区域和影响区域的环境状况、环境保护目标分布情况，抽查核实重要敏感目标相关信息，查看改扩建项目现有环保设施建设运行情况等，同步记录现场踏勘情况。</w:t>
      </w:r>
    </w:p>
    <w:p w14:paraId="5640242D">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3）组织专家评审。受环评审批部门委托，评估机构应按照《南通市建设项目环境影响评价技术评审专家管理办法（试行）》有关规定通过生态环境部“环境影响评价技术评估专家库”系统抽取专家。函审专家不得少于2名；如项目较为复杂，需召开技术评估会议的，参与评审的专家一般应不少于3名。评估机构应秉持公正客观的态度，会同评审专家开展技术评估工作，分别填写环评文件日常评分表，并对提出的意见负责。技术评估会议上，应形成专家组评审意见。</w:t>
      </w:r>
    </w:p>
    <w:p w14:paraId="2ABE5F17">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4）环评文件修改。评估机构应综合专家组评审意见，在技术评估会议后3个工作日内通过环评审批部门向建设单位、环评单位一次性反馈环评文件的具体修改意见并明确修改时限。建设单位、环评单位收到环评文件的修改要求后，应在规定时间内提交修改完成的环评文件。逾期未收到或收到的环评文件未修改到位，评估机构应向环评审批部门提交情况报告，由环评审批部门按照行政许可有关要求处理。</w:t>
      </w:r>
    </w:p>
    <w:p w14:paraId="5EAF2EE4">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5）出具评估意见。评估机构收到修改完成的环评文件后，应在技术评估时限内向环评审批部门出具评估意见。技术评估意见应包括评估工作过程、项目概况、环境概况（包括环境敏感目标、环境质量现状等）、主要环境影响、环境保护措施、污染物排放标准、环境影响预测结论、评估结论、审批时需重点关注的问题等。评估意见应客观反映技术评估结果，明确建设项目是否具备环境可行性。环评文件存在质量问题的，评估意见中应如实描述问题情形、提出处理建议。</w:t>
      </w:r>
    </w:p>
    <w:p w14:paraId="4BC9FE8F">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6）资料存档。评估机构应及时对已完成评估的环评文件及资料进行归档，档案包括（但不限于）技术评估委托函、技术评估会议通知、专家抽取记录、踏勘记录及影像资料、技术评估会议签到表（如有）、专家个人意见及专家组意见、环评文件送审稿、修改意见、质量审核意见、技术评估意见、环评文件报批稿等。</w:t>
      </w:r>
    </w:p>
    <w:p w14:paraId="244DFDD8">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2.2.6提交成果：《*项目环境影响评价报告表评估意见》电子稿和纸质版各1套。</w:t>
      </w:r>
    </w:p>
    <w:p w14:paraId="40A499AC">
      <w:pPr>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2.2.7 服务期</w:t>
      </w:r>
      <w:r>
        <w:rPr>
          <w:rFonts w:hint="eastAsia"/>
          <w:color w:val="auto"/>
          <w:sz w:val="24"/>
          <w:highlight w:val="none"/>
          <w:lang w:val="en-US" w:eastAsia="zh-CN"/>
        </w:rPr>
        <w:t>自合同签订之日起一年。</w:t>
      </w:r>
      <w:r>
        <w:rPr>
          <w:rFonts w:hint="eastAsia" w:hAnsi="宋体"/>
          <w:color w:val="auto"/>
          <w:sz w:val="24"/>
          <w:highlight w:val="none"/>
          <w:lang w:val="en-US" w:eastAsia="zh-CN"/>
        </w:rPr>
        <w:t>全年约25本报告表，以实际发生量为准。</w:t>
      </w:r>
    </w:p>
    <w:p w14:paraId="59863F99">
      <w:pPr>
        <w:snapToGrid w:val="0"/>
        <w:spacing w:line="360" w:lineRule="auto"/>
        <w:ind w:firstLine="482" w:firstLineChars="200"/>
        <w:jc w:val="left"/>
        <w:rPr>
          <w:rFonts w:hint="eastAsia" w:hAnsi="宋体"/>
          <w:b/>
          <w:bCs/>
          <w:color w:val="auto"/>
          <w:sz w:val="24"/>
          <w:highlight w:val="none"/>
          <w:lang w:val="en-US" w:eastAsia="zh-CN"/>
        </w:rPr>
      </w:pPr>
      <w:r>
        <w:rPr>
          <w:rFonts w:hint="eastAsia" w:hAnsi="宋体"/>
          <w:b/>
          <w:bCs/>
          <w:color w:val="auto"/>
          <w:sz w:val="24"/>
          <w:highlight w:val="none"/>
          <w:lang w:val="en-US" w:eastAsia="zh-CN"/>
        </w:rPr>
        <w:t>三、付款方式</w:t>
      </w:r>
    </w:p>
    <w:p w14:paraId="5B4BC4AF">
      <w:pPr>
        <w:snapToGrid w:val="0"/>
        <w:spacing w:line="360" w:lineRule="auto"/>
        <w:ind w:firstLine="480" w:firstLineChars="200"/>
        <w:jc w:val="left"/>
        <w:rPr>
          <w:rFonts w:hint="eastAsia" w:hAnsi="宋体"/>
          <w:color w:val="auto"/>
          <w:sz w:val="24"/>
          <w:highlight w:val="none"/>
          <w:lang w:val="en-US" w:eastAsia="zh-CN"/>
        </w:rPr>
      </w:pPr>
      <w:r>
        <w:rPr>
          <w:rFonts w:hint="eastAsia" w:hAnsi="宋体"/>
          <w:color w:val="auto"/>
          <w:sz w:val="24"/>
          <w:highlight w:val="none"/>
          <w:lang w:val="en-US" w:eastAsia="zh-CN"/>
        </w:rPr>
        <w:t xml:space="preserve">    自合同签订之日起，采购人在一个月内向成交供应商支付总合同额的30%作为预付款；2026年12底前、合同期结束前分别根据实际发生量结算一次（扣除预付款后支付应付款项，如第一次实际结算费用不足以扣除预付款的，延期至下一次）。</w:t>
      </w:r>
    </w:p>
    <w:p w14:paraId="7C1C3B9B">
      <w:pPr>
        <w:rPr>
          <w:rFonts w:hAnsi="宋体"/>
          <w:b/>
          <w:color w:val="auto"/>
          <w:sz w:val="36"/>
          <w:szCs w:val="36"/>
          <w:highlight w:val="none"/>
        </w:rPr>
      </w:pPr>
      <w:r>
        <w:rPr>
          <w:rFonts w:hAnsi="宋体"/>
          <w:b/>
          <w:color w:val="auto"/>
          <w:sz w:val="36"/>
          <w:szCs w:val="36"/>
          <w:highlight w:val="none"/>
        </w:rPr>
        <w:br w:type="page"/>
      </w:r>
    </w:p>
    <w:p w14:paraId="74FEDFCB">
      <w:pPr>
        <w:snapToGrid w:val="0"/>
        <w:spacing w:line="360" w:lineRule="auto"/>
        <w:ind w:firstLine="723" w:firstLineChars="200"/>
        <w:jc w:val="center"/>
        <w:rPr>
          <w:b/>
          <w:color w:val="auto"/>
          <w:sz w:val="36"/>
          <w:szCs w:val="36"/>
          <w:highlight w:val="none"/>
        </w:rPr>
      </w:pPr>
      <w:r>
        <w:rPr>
          <w:rFonts w:hAnsi="宋体"/>
          <w:b/>
          <w:color w:val="auto"/>
          <w:sz w:val="36"/>
          <w:szCs w:val="36"/>
          <w:highlight w:val="none"/>
        </w:rPr>
        <w:t>第四部分</w:t>
      </w:r>
      <w:r>
        <w:rPr>
          <w:b/>
          <w:color w:val="auto"/>
          <w:sz w:val="36"/>
          <w:szCs w:val="36"/>
          <w:highlight w:val="none"/>
        </w:rPr>
        <w:t xml:space="preserve">  </w:t>
      </w:r>
      <w:r>
        <w:rPr>
          <w:rFonts w:hAnsi="宋体"/>
          <w:b/>
          <w:color w:val="auto"/>
          <w:sz w:val="36"/>
          <w:szCs w:val="36"/>
          <w:highlight w:val="none"/>
        </w:rPr>
        <w:t>磋商程序和内容</w:t>
      </w:r>
    </w:p>
    <w:p w14:paraId="54AAE80A">
      <w:pPr>
        <w:autoSpaceDE w:val="0"/>
        <w:autoSpaceDN w:val="0"/>
        <w:adjustRightInd w:val="0"/>
        <w:snapToGrid w:val="0"/>
        <w:spacing w:line="360" w:lineRule="auto"/>
        <w:ind w:firstLine="482" w:firstLineChars="200"/>
        <w:jc w:val="left"/>
        <w:rPr>
          <w:b/>
          <w:bCs/>
          <w:color w:val="auto"/>
          <w:sz w:val="24"/>
          <w:highlight w:val="none"/>
        </w:rPr>
      </w:pPr>
      <w:r>
        <w:rPr>
          <w:b/>
          <w:bCs/>
          <w:color w:val="auto"/>
          <w:sz w:val="24"/>
          <w:highlight w:val="none"/>
        </w:rPr>
        <w:t>一、采购人组织磋商活动</w:t>
      </w:r>
    </w:p>
    <w:p w14:paraId="23A5EE5D">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1、成立竞争性磋商小组。竞争性磋商小组由采购人代表和评审专家共3人及以上单数组成，其中评审专家人数不得少于竞争性磋商小组成员总数的2/3。采购人不得以评审专家身份参加本部门或本单位采购项目的评审。招标代理机构人员不得参加本机构代理的采购项目的评审。</w:t>
      </w:r>
    </w:p>
    <w:p w14:paraId="6BF895F3">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14:paraId="7B679A58">
      <w:pPr>
        <w:spacing w:line="360" w:lineRule="auto"/>
        <w:ind w:firstLine="480" w:firstLineChars="200"/>
        <w:jc w:val="left"/>
        <w:rPr>
          <w:color w:val="auto"/>
          <w:sz w:val="24"/>
          <w:highlight w:val="none"/>
        </w:rPr>
      </w:pPr>
      <w:r>
        <w:rPr>
          <w:color w:val="auto"/>
          <w:sz w:val="24"/>
          <w:highlight w:val="none"/>
        </w:rPr>
        <w:t>2、竞争性磋商小组的职责：</w:t>
      </w:r>
    </w:p>
    <w:p w14:paraId="2F021377">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评审专家应当遵守评审工作纪律，不得泄露评审情况和评审中获悉的商业秘密。</w:t>
      </w:r>
    </w:p>
    <w:p w14:paraId="14E11E01">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磋商小组在评审过程中发现供应商有行贿、提供虚假材料或者串通等违法行为的，应当及时向采购人报告。</w:t>
      </w:r>
    </w:p>
    <w:p w14:paraId="21C7192C">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评审专家在评审过程中受到非法干涉的，应当及时向纪检、监察等部门举报。</w:t>
      </w:r>
    </w:p>
    <w:p w14:paraId="4F3A83DF">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B6959D4">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磋商文件内容违反国家有关强制性规定的，磋商小组应当停止评审并向采购人或者采购代理机构说明情况。</w:t>
      </w:r>
    </w:p>
    <w:p w14:paraId="53D979B0">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3、竞争性磋商小组成员的义务：</w:t>
      </w:r>
    </w:p>
    <w:p w14:paraId="7F46C675">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遵纪守法，客观、公正、廉洁地履行职责；根据采购文件的规定独立进行评审，对个人的评审意见承担法律责任；参与评审报告的起草；配合采购人、采购中心答复供应商提出的质疑；配合财政部门的投诉处理和监督检查工作。</w:t>
      </w:r>
    </w:p>
    <w:p w14:paraId="2E1DC74A">
      <w:pPr>
        <w:pStyle w:val="16"/>
        <w:snapToGrid w:val="0"/>
        <w:spacing w:line="360" w:lineRule="auto"/>
        <w:ind w:firstLine="482" w:firstLineChars="200"/>
        <w:contextualSpacing/>
        <w:jc w:val="left"/>
        <w:rPr>
          <w:rFonts w:ascii="Times New Roman" w:hAnsi="Times New Roman" w:eastAsia="宋体"/>
          <w:b/>
          <w:bCs/>
          <w:color w:val="auto"/>
          <w:kern w:val="2"/>
          <w:sz w:val="24"/>
          <w:szCs w:val="24"/>
          <w:highlight w:val="none"/>
        </w:rPr>
      </w:pPr>
      <w:r>
        <w:rPr>
          <w:rFonts w:ascii="Times New Roman" w:hAnsi="Times New Roman" w:eastAsia="宋体"/>
          <w:b/>
          <w:bCs/>
          <w:color w:val="auto"/>
          <w:kern w:val="2"/>
          <w:sz w:val="24"/>
          <w:szCs w:val="24"/>
          <w:highlight w:val="none"/>
        </w:rPr>
        <w:t>二、供应商的法定代表人或授权人须持本人身份证准时参加磋商。</w:t>
      </w:r>
    </w:p>
    <w:p w14:paraId="5634753C">
      <w:pPr>
        <w:autoSpaceDE w:val="0"/>
        <w:autoSpaceDN w:val="0"/>
        <w:adjustRightInd w:val="0"/>
        <w:snapToGrid w:val="0"/>
        <w:spacing w:line="360" w:lineRule="auto"/>
        <w:ind w:firstLine="482" w:firstLineChars="200"/>
        <w:jc w:val="left"/>
        <w:rPr>
          <w:b/>
          <w:bCs/>
          <w:color w:val="auto"/>
          <w:sz w:val="24"/>
          <w:highlight w:val="none"/>
        </w:rPr>
      </w:pPr>
      <w:r>
        <w:rPr>
          <w:b/>
          <w:bCs/>
          <w:color w:val="auto"/>
          <w:sz w:val="24"/>
          <w:highlight w:val="none"/>
        </w:rPr>
        <w:t>三、评审程序、内容</w:t>
      </w:r>
    </w:p>
    <w:p w14:paraId="0477781E">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1、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14:paraId="015D31E2">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02D032">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14:paraId="53F8DC1E">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2、磋商小组所有成员应当集中与单一供应商分别进行磋商，并给予所有参加磋商的供应商平等的磋商机会。</w:t>
      </w:r>
    </w:p>
    <w:p w14:paraId="691FAC20">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14:paraId="6C7DE522">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对磋商文件作出的实质性变动是磋商文件的有效组成部分，磋商小组应当及时以书面形式同时通知所有参加磋商的供应商。</w:t>
      </w:r>
    </w:p>
    <w:p w14:paraId="2B8BC071">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供应商应当按照磋商文件的变动情况和磋商小组的要求重新提交响应文件，并由其法定代表人或授权代表签字或者加盖公章。由授权代表签字的，应当附法定代表人授权书。</w:t>
      </w:r>
    </w:p>
    <w:p w14:paraId="7DD61607">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4、最后报价是供应商响应文件的有效组成部分。除非在磋商中磋商小组对采购人需求内容作了调整增加，或对采购内容作了实质性变更，否则</w:t>
      </w:r>
      <w:r>
        <w:rPr>
          <w:rFonts w:ascii="Times New Roman" w:hAnsi="Times New Roman" w:eastAsia="宋体"/>
          <w:b/>
          <w:color w:val="auto"/>
          <w:kern w:val="2"/>
          <w:sz w:val="24"/>
          <w:szCs w:val="24"/>
          <w:highlight w:val="none"/>
        </w:rPr>
        <w:t>采购人不接受供应商高于自己前一轮的磋商报价</w:t>
      </w:r>
      <w:r>
        <w:rPr>
          <w:rFonts w:ascii="Times New Roman" w:hAnsi="Times New Roman" w:eastAsia="宋体"/>
          <w:color w:val="auto"/>
          <w:kern w:val="2"/>
          <w:sz w:val="24"/>
          <w:szCs w:val="24"/>
          <w:highlight w:val="none"/>
        </w:rPr>
        <w:t>。</w:t>
      </w:r>
    </w:p>
    <w:p w14:paraId="65FC2ACA">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5、已提交响应文件的供应商，在提交最后报价之前，可以根据磋商情况退出磋商，须以书面形式说明退出磋商的原因，经磋商小组同意可以退出磋商。</w:t>
      </w:r>
    </w:p>
    <w:p w14:paraId="272D4A3E">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6、在磋商中，磋商的任何一方不得透露与磋商有关的其他响应磋商的供应商的技术资料、价格及其他信息。</w:t>
      </w:r>
    </w:p>
    <w:p w14:paraId="1F0AE3FD">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4980A330">
      <w:pPr>
        <w:pStyle w:val="16"/>
        <w:snapToGrid w:val="0"/>
        <w:spacing w:line="360" w:lineRule="auto"/>
        <w:ind w:firstLine="480" w:firstLineChars="200"/>
        <w:contextualSpacing/>
        <w:jc w:val="left"/>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磋商时间由磋商小组掌握。</w:t>
      </w:r>
    </w:p>
    <w:p w14:paraId="6352CFA0">
      <w:pPr>
        <w:pStyle w:val="16"/>
        <w:snapToGrid w:val="0"/>
        <w:spacing w:line="360" w:lineRule="auto"/>
        <w:ind w:firstLine="482" w:firstLineChars="200"/>
        <w:contextualSpacing/>
        <w:jc w:val="left"/>
        <w:rPr>
          <w:rFonts w:hint="eastAsia"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b/>
          <w:bCs/>
          <w:color w:val="auto"/>
          <w:kern w:val="2"/>
          <w:sz w:val="24"/>
          <w:szCs w:val="24"/>
          <w:highlight w:val="none"/>
        </w:rPr>
        <w:t>四、评审方法-综合评分法</w:t>
      </w:r>
    </w:p>
    <w:p w14:paraId="5D9FA746">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经磋商确定最终采购需求和提交最后报价的供应商后，由磋商小组采用综合评分法对提交最后报价的供应商的响应文件和最后报价进行综合评分。</w:t>
      </w:r>
    </w:p>
    <w:p w14:paraId="571417A8">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综合评分法，是指响应文件满足磋商文件全部实质性要求且按评审因素的量化指标评审得分最高的供应商为成交候选供应商的评审方法。</w:t>
      </w:r>
    </w:p>
    <w:p w14:paraId="2873CAB8">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评审时，磋商小组各成员应当独立对每个有效响应的文件进行评价、打分，然后汇总每个供应商每项评分因素的得分。</w:t>
      </w:r>
    </w:p>
    <w:p w14:paraId="46F1CFBA">
      <w:pPr>
        <w:pStyle w:val="16"/>
        <w:snapToGrid w:val="0"/>
        <w:spacing w:line="360" w:lineRule="auto"/>
        <w:ind w:firstLine="480" w:firstLineChars="200"/>
        <w:contextualSpacing/>
        <w:jc w:val="left"/>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本项目磋商的商务技术和报价评审总分值为</w:t>
      </w:r>
      <w:r>
        <w:rPr>
          <w:rFonts w:ascii="Times New Roman" w:hAnsi="Times New Roman" w:eastAsia="宋体" w:cs="Times New Roman"/>
          <w:b/>
          <w:bCs/>
          <w:color w:val="auto"/>
          <w:kern w:val="2"/>
          <w:sz w:val="24"/>
          <w:szCs w:val="24"/>
          <w:highlight w:val="none"/>
        </w:rPr>
        <w:t>100分</w:t>
      </w:r>
      <w:r>
        <w:rPr>
          <w:rFonts w:ascii="Times New Roman" w:hAnsi="Times New Roman" w:eastAsia="宋体" w:cs="Times New Roman"/>
          <w:color w:val="auto"/>
          <w:kern w:val="2"/>
          <w:sz w:val="24"/>
          <w:szCs w:val="24"/>
          <w:highlight w:val="none"/>
        </w:rPr>
        <w:t xml:space="preserve">。两部分评审因素比重如下： </w:t>
      </w:r>
    </w:p>
    <w:p w14:paraId="41AD2D22">
      <w:pPr>
        <w:pStyle w:val="16"/>
        <w:snapToGrid w:val="0"/>
        <w:spacing w:line="360" w:lineRule="auto"/>
        <w:ind w:firstLine="480" w:firstLineChars="200"/>
        <w:contextualSpacing/>
        <w:jc w:val="left"/>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商务技术分值占总分值的比重为</w:t>
      </w:r>
      <w:r>
        <w:rPr>
          <w:rFonts w:ascii="Times New Roman" w:hAnsi="Times New Roman" w:eastAsia="宋体" w:cs="Times New Roman"/>
          <w:b/>
          <w:bCs/>
          <w:color w:val="auto"/>
          <w:kern w:val="2"/>
          <w:sz w:val="24"/>
          <w:szCs w:val="24"/>
          <w:highlight w:val="none"/>
          <w:u w:val="single"/>
        </w:rPr>
        <w:t xml:space="preserve"> </w:t>
      </w:r>
      <w:r>
        <w:rPr>
          <w:rFonts w:hint="eastAsia" w:ascii="Times New Roman" w:hAnsi="Times New Roman" w:eastAsia="宋体" w:cs="Times New Roman"/>
          <w:b/>
          <w:bCs/>
          <w:color w:val="auto"/>
          <w:kern w:val="2"/>
          <w:sz w:val="24"/>
          <w:szCs w:val="24"/>
          <w:highlight w:val="none"/>
          <w:u w:val="single"/>
          <w:lang w:val="en-US" w:eastAsia="zh-CN"/>
        </w:rPr>
        <w:t>8</w:t>
      </w:r>
      <w:r>
        <w:rPr>
          <w:rFonts w:hint="eastAsia" w:ascii="Times New Roman" w:hAnsi="Times New Roman" w:eastAsia="宋体" w:cs="Times New Roman"/>
          <w:b/>
          <w:bCs/>
          <w:color w:val="auto"/>
          <w:kern w:val="2"/>
          <w:sz w:val="24"/>
          <w:szCs w:val="24"/>
          <w:highlight w:val="none"/>
          <w:u w:val="single"/>
        </w:rPr>
        <w:t>0</w:t>
      </w:r>
      <w:r>
        <w:rPr>
          <w:rFonts w:ascii="Times New Roman" w:hAnsi="Times New Roman" w:eastAsia="宋体" w:cs="Times New Roman"/>
          <w:b/>
          <w:bCs/>
          <w:color w:val="auto"/>
          <w:kern w:val="2"/>
          <w:sz w:val="24"/>
          <w:szCs w:val="24"/>
          <w:highlight w:val="none"/>
          <w:u w:val="single"/>
        </w:rPr>
        <w:t>%（权重）</w:t>
      </w:r>
      <w:r>
        <w:rPr>
          <w:rFonts w:ascii="Times New Roman" w:hAnsi="Times New Roman" w:eastAsia="宋体" w:cs="Times New Roman"/>
          <w:color w:val="auto"/>
          <w:kern w:val="2"/>
          <w:sz w:val="24"/>
          <w:szCs w:val="24"/>
          <w:highlight w:val="none"/>
        </w:rPr>
        <w:t>，按所有评委评分的算术平均值计算，分值四舍五入保留两位小数；报价分值占总分值的比重为</w:t>
      </w:r>
      <w:r>
        <w:rPr>
          <w:rFonts w:ascii="Times New Roman" w:hAnsi="Times New Roman" w:eastAsia="宋体" w:cs="Times New Roman"/>
          <w:b/>
          <w:bCs/>
          <w:color w:val="auto"/>
          <w:kern w:val="2"/>
          <w:sz w:val="24"/>
          <w:szCs w:val="24"/>
          <w:highlight w:val="none"/>
          <w:u w:val="single"/>
        </w:rPr>
        <w:t xml:space="preserve"> </w:t>
      </w:r>
      <w:r>
        <w:rPr>
          <w:rFonts w:hint="eastAsia" w:ascii="Times New Roman" w:hAnsi="Times New Roman" w:eastAsia="宋体" w:cs="Times New Roman"/>
          <w:b/>
          <w:bCs/>
          <w:color w:val="auto"/>
          <w:kern w:val="2"/>
          <w:sz w:val="24"/>
          <w:szCs w:val="24"/>
          <w:highlight w:val="none"/>
          <w:u w:val="single"/>
          <w:lang w:val="en-US" w:eastAsia="zh-CN"/>
        </w:rPr>
        <w:t>2</w:t>
      </w:r>
      <w:r>
        <w:rPr>
          <w:rFonts w:hint="eastAsia" w:ascii="Times New Roman" w:hAnsi="Times New Roman" w:eastAsia="宋体" w:cs="Times New Roman"/>
          <w:b/>
          <w:bCs/>
          <w:color w:val="auto"/>
          <w:kern w:val="2"/>
          <w:sz w:val="24"/>
          <w:szCs w:val="24"/>
          <w:highlight w:val="none"/>
          <w:u w:val="single"/>
        </w:rPr>
        <w:t>0</w:t>
      </w:r>
      <w:r>
        <w:rPr>
          <w:rFonts w:ascii="Times New Roman" w:hAnsi="Times New Roman" w:eastAsia="宋体" w:cs="Times New Roman"/>
          <w:b/>
          <w:bCs/>
          <w:color w:val="auto"/>
          <w:kern w:val="2"/>
          <w:sz w:val="24"/>
          <w:szCs w:val="24"/>
          <w:highlight w:val="none"/>
          <w:u w:val="single"/>
        </w:rPr>
        <w:t>%（权重）</w:t>
      </w:r>
      <w:r>
        <w:rPr>
          <w:rFonts w:ascii="Times New Roman" w:hAnsi="Times New Roman" w:eastAsia="宋体" w:cs="Times New Roman"/>
          <w:color w:val="auto"/>
          <w:kern w:val="2"/>
          <w:sz w:val="24"/>
          <w:szCs w:val="24"/>
          <w:highlight w:val="none"/>
        </w:rPr>
        <w:t xml:space="preserve"> ，统一采用低价优先法计算直接取得，分值四舍五入保留两位小数。两项得分相加为供应商的综合得分，综合得分最高的供应商推荐为项目第一成交候选人，并出具评审磋商报告。</w:t>
      </w:r>
    </w:p>
    <w:p w14:paraId="7E86FFB4">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确定成交候选人的特殊情况处理：若总分相同，则按最终报价响应得分高者优先中标；若总分且最终报价响应得分相同，则采取现场抽签的方式确定（投标供应商的抽签顺序分别为各投标供应商递交响应文件签到顺序号）。</w:t>
      </w:r>
    </w:p>
    <w:p w14:paraId="1957294D">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（一）审查响应文件的有效性、完整性、响应程度</w:t>
      </w:r>
    </w:p>
    <w:p w14:paraId="26679A5C">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1.供应商资格是否符合；</w:t>
      </w:r>
    </w:p>
    <w:p w14:paraId="615196F6">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2.响应文件是否完整；</w:t>
      </w:r>
    </w:p>
    <w:p w14:paraId="05831378">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3.响应文件是否恰当地签署；</w:t>
      </w:r>
    </w:p>
    <w:p w14:paraId="15BF8F71">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4.是否作出实质性响应（是否有实质性响应，只根据响应文件本身，而不寻求外部证据）；</w:t>
      </w:r>
    </w:p>
    <w:p w14:paraId="1729CD7A">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5.是否有计算错误。</w:t>
      </w:r>
    </w:p>
    <w:p w14:paraId="1FDAE458">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（二）误差纠正</w:t>
      </w:r>
    </w:p>
    <w:p w14:paraId="27885557">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1.如果单价汇总金额与总价金额有出入，以单价金额计算结果为准；</w:t>
      </w:r>
    </w:p>
    <w:p w14:paraId="4A9AFB2C">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2.单价金额小数点有明显错位的，应以总价为准；</w:t>
      </w:r>
    </w:p>
    <w:p w14:paraId="5E40235A">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3.正本与副本有矛盾的，以正本为准；</w:t>
      </w:r>
    </w:p>
    <w:p w14:paraId="176A7347">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4.若文件大写表示的数据与数字表示的有差别，以大写表示的数据为准。</w:t>
      </w:r>
    </w:p>
    <w:p w14:paraId="32650EB2">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（三）出现下列情形之一的，作无效响应处理</w:t>
      </w:r>
    </w:p>
    <w:p w14:paraId="646AAC98">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1.未按照磋商文件规定要求装订、密封、签署、盖章的；</w:t>
      </w:r>
    </w:p>
    <w:p w14:paraId="32F1B1AC">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2.不具备磋商文件中规定的资格要求的；</w:t>
      </w:r>
    </w:p>
    <w:p w14:paraId="3BCAB8ED">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3.响应报价超出预算的；</w:t>
      </w:r>
    </w:p>
    <w:p w14:paraId="67C0F713">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4.不符合法律、法规和磋商文件中规定的其他实质性要求的。</w:t>
      </w:r>
    </w:p>
    <w:p w14:paraId="0668DF1C">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（四）出现下列情形之一的，磋商失败</w:t>
      </w:r>
    </w:p>
    <w:p w14:paraId="0F88E561">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1.符合条件的供应商或者对磋商文件作实质响应的供应商不足3家的（市场竞争不充分的科研项目，以及需要扶持的科技成果转化项目可以是2家）；</w:t>
      </w:r>
    </w:p>
    <w:p w14:paraId="569069C8">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2.出现影响采购公正的违法违规行为的；</w:t>
      </w:r>
    </w:p>
    <w:p w14:paraId="20F9EDD8">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3.供应商的最后报价均超过了采购预算，采购人不能支付的；</w:t>
      </w:r>
    </w:p>
    <w:p w14:paraId="0C451C14">
      <w:pPr>
        <w:pStyle w:val="16"/>
        <w:snapToGrid w:val="0"/>
        <w:spacing w:line="360" w:lineRule="auto"/>
        <w:ind w:firstLine="480" w:firstLineChars="200"/>
        <w:contextualSpacing/>
        <w:jc w:val="left"/>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4.因重大变故，采购任务取消的。</w:t>
      </w:r>
    </w:p>
    <w:p w14:paraId="69B9DF83">
      <w:pPr>
        <w:pStyle w:val="16"/>
        <w:snapToGrid w:val="0"/>
        <w:spacing w:line="360" w:lineRule="auto"/>
        <w:ind w:firstLine="480" w:firstLineChars="200"/>
        <w:contextualSpacing/>
        <w:jc w:val="left"/>
        <w:rPr>
          <w:rFonts w:hint="eastAsia"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color w:val="auto"/>
          <w:kern w:val="2"/>
          <w:sz w:val="24"/>
          <w:szCs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14:paraId="137F0D99">
      <w:pPr>
        <w:pStyle w:val="16"/>
        <w:snapToGrid w:val="0"/>
        <w:spacing w:line="360" w:lineRule="auto"/>
        <w:ind w:firstLine="482" w:firstLineChars="200"/>
        <w:contextualSpacing/>
        <w:jc w:val="left"/>
        <w:rPr>
          <w:rFonts w:hint="eastAsia"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b/>
          <w:bCs/>
          <w:color w:val="auto"/>
          <w:kern w:val="2"/>
          <w:sz w:val="24"/>
          <w:szCs w:val="24"/>
          <w:highlight w:val="none"/>
        </w:rPr>
        <w:t>五、评审标准</w:t>
      </w:r>
    </w:p>
    <w:p w14:paraId="739E2A62">
      <w:pPr>
        <w:pStyle w:val="16"/>
        <w:snapToGrid w:val="0"/>
        <w:spacing w:line="360" w:lineRule="auto"/>
        <w:ind w:firstLine="482" w:firstLineChars="200"/>
        <w:contextualSpacing/>
        <w:jc w:val="left"/>
        <w:rPr>
          <w:rFonts w:hint="eastAsia"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b/>
          <w:bCs/>
          <w:color w:val="auto"/>
          <w:kern w:val="2"/>
          <w:sz w:val="24"/>
          <w:szCs w:val="24"/>
          <w:highlight w:val="none"/>
        </w:rPr>
        <w:t>（一）商务技术分：</w:t>
      </w:r>
      <w:r>
        <w:rPr>
          <w:rFonts w:hint="eastAsia" w:ascii="Times New Roman" w:hAnsi="Times New Roman" w:eastAsia="宋体" w:cs="Times New Roman"/>
          <w:b/>
          <w:bCs/>
          <w:color w:val="auto"/>
          <w:kern w:val="2"/>
          <w:sz w:val="24"/>
          <w:szCs w:val="24"/>
          <w:highlight w:val="none"/>
          <w:lang w:val="en-US" w:eastAsia="zh-CN"/>
        </w:rPr>
        <w:t>8</w:t>
      </w:r>
      <w:r>
        <w:rPr>
          <w:rFonts w:hint="eastAsia" w:ascii="Times New Roman" w:hAnsi="Times New Roman" w:eastAsia="宋体" w:cs="Times New Roman"/>
          <w:b/>
          <w:bCs/>
          <w:color w:val="auto"/>
          <w:kern w:val="2"/>
          <w:sz w:val="24"/>
          <w:szCs w:val="24"/>
          <w:highlight w:val="none"/>
        </w:rPr>
        <w:t>0分</w:t>
      </w:r>
    </w:p>
    <w:p w14:paraId="3814DC7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如果磋商小组由3人组成，供应商得分为磋商小组3个成员的平均分；如果磋商小组由5人以上组成，供应商得分为磋商小组成员评分中去除一个最高分和一个最低分后的平均分，分值保留小数点后两位。以下所设分值均为各条评分最大得分值。</w:t>
      </w:r>
    </w:p>
    <w:tbl>
      <w:tblPr>
        <w:tblStyle w:val="13"/>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177"/>
        <w:gridCol w:w="718"/>
        <w:gridCol w:w="7026"/>
      </w:tblGrid>
      <w:tr w14:paraId="19E3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pct"/>
            <w:noWrap w:val="0"/>
            <w:vAlign w:val="center"/>
          </w:tcPr>
          <w:p w14:paraId="6B19F14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w:t>
            </w:r>
          </w:p>
          <w:p w14:paraId="5FFF113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595" w:type="pct"/>
            <w:noWrap w:val="0"/>
            <w:vAlign w:val="center"/>
          </w:tcPr>
          <w:p w14:paraId="26C5CED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w:t>
            </w:r>
          </w:p>
          <w:p w14:paraId="41906BB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因素</w:t>
            </w:r>
          </w:p>
        </w:tc>
        <w:tc>
          <w:tcPr>
            <w:tcW w:w="363" w:type="pct"/>
            <w:noWrap w:val="0"/>
            <w:vAlign w:val="center"/>
          </w:tcPr>
          <w:p w14:paraId="6000A5B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w:t>
            </w:r>
          </w:p>
          <w:p w14:paraId="6AA2A05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值</w:t>
            </w:r>
          </w:p>
        </w:tc>
        <w:tc>
          <w:tcPr>
            <w:tcW w:w="3553" w:type="pct"/>
            <w:noWrap w:val="0"/>
            <w:vAlign w:val="center"/>
          </w:tcPr>
          <w:p w14:paraId="15822C8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7E9D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87" w:type="pct"/>
            <w:noWrap w:val="0"/>
            <w:vAlign w:val="center"/>
          </w:tcPr>
          <w:p w14:paraId="60CB502C">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团队实力</w:t>
            </w:r>
          </w:p>
        </w:tc>
        <w:tc>
          <w:tcPr>
            <w:tcW w:w="595" w:type="pct"/>
            <w:noWrap w:val="0"/>
            <w:vAlign w:val="center"/>
          </w:tcPr>
          <w:p w14:paraId="4D61E22B">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项目组成员及设施配备</w:t>
            </w:r>
          </w:p>
        </w:tc>
        <w:tc>
          <w:tcPr>
            <w:tcW w:w="363" w:type="pct"/>
            <w:noWrap w:val="0"/>
            <w:vAlign w:val="center"/>
          </w:tcPr>
          <w:p w14:paraId="39C43966">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tc>
        <w:tc>
          <w:tcPr>
            <w:tcW w:w="3553" w:type="pct"/>
            <w:noWrap w:val="0"/>
            <w:vAlign w:val="center"/>
          </w:tcPr>
          <w:p w14:paraId="5131F02F">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1.项目负责人(满分10分)。</w:t>
            </w:r>
          </w:p>
          <w:p w14:paraId="0833461B">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（1）项目负责人具有环境类专业高级工程师（或教授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副教授级）及以上职称的得5分；具有环境类专业中级工程师职称的得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分；具有环境类专业</w:t>
            </w:r>
            <w:r>
              <w:rPr>
                <w:rFonts w:hint="eastAsia" w:ascii="仿宋" w:hAnsi="仿宋" w:eastAsia="仿宋" w:cs="仿宋"/>
                <w:color w:val="auto"/>
                <w:kern w:val="0"/>
                <w:sz w:val="24"/>
                <w:szCs w:val="24"/>
                <w:highlight w:val="none"/>
                <w:lang w:val="en-US" w:eastAsia="zh-CN"/>
              </w:rPr>
              <w:t>初</w:t>
            </w:r>
            <w:r>
              <w:rPr>
                <w:rFonts w:hint="eastAsia" w:ascii="仿宋" w:hAnsi="仿宋" w:eastAsia="仿宋" w:cs="仿宋"/>
                <w:color w:val="auto"/>
                <w:kern w:val="0"/>
                <w:sz w:val="24"/>
                <w:szCs w:val="24"/>
                <w:highlight w:val="none"/>
              </w:rPr>
              <w:t>级工程师职称的得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分；其他不得分；本项最高得5分。</w:t>
            </w:r>
          </w:p>
          <w:p w14:paraId="0AE782A9">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（2）项目负责人具有注册环评工程师得3分,具有注册环保工程师证书得2分；本项最高得5分。</w:t>
            </w:r>
          </w:p>
          <w:p w14:paraId="5E18CB7A">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2.项目组成员(满分10分)。</w:t>
            </w:r>
          </w:p>
          <w:p w14:paraId="5B0E8FDD">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项目组成员（不包括项目负责人）拥有环境类专业高级工程师（或教授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副教授</w:t>
            </w:r>
            <w:r>
              <w:rPr>
                <w:rFonts w:hint="eastAsia" w:ascii="仿宋" w:hAnsi="仿宋" w:eastAsia="仿宋" w:cs="仿宋"/>
                <w:color w:val="auto"/>
                <w:kern w:val="0"/>
                <w:sz w:val="24"/>
                <w:szCs w:val="24"/>
                <w:highlight w:val="none"/>
              </w:rPr>
              <w:t>级）及以上职称的，每</w:t>
            </w:r>
            <w:r>
              <w:rPr>
                <w:rFonts w:hint="eastAsia" w:ascii="仿宋" w:hAnsi="仿宋" w:eastAsia="仿宋" w:cs="仿宋"/>
                <w:color w:val="auto"/>
                <w:kern w:val="0"/>
                <w:sz w:val="24"/>
                <w:szCs w:val="24"/>
                <w:highlight w:val="none"/>
                <w:lang w:eastAsia="zh-CN"/>
              </w:rPr>
              <w:t>承诺</w:t>
            </w:r>
            <w:r>
              <w:rPr>
                <w:rFonts w:hint="eastAsia" w:ascii="仿宋" w:hAnsi="仿宋" w:eastAsia="仿宋" w:cs="仿宋"/>
                <w:color w:val="auto"/>
                <w:kern w:val="0"/>
                <w:sz w:val="24"/>
                <w:szCs w:val="24"/>
                <w:highlight w:val="none"/>
              </w:rPr>
              <w:t>1人得2分；具有环境类专业</w:t>
            </w:r>
            <w:r>
              <w:rPr>
                <w:rFonts w:hint="eastAsia" w:ascii="仿宋" w:hAnsi="仿宋" w:eastAsia="仿宋" w:cs="仿宋"/>
                <w:color w:val="auto"/>
                <w:kern w:val="0"/>
                <w:sz w:val="24"/>
                <w:szCs w:val="24"/>
                <w:highlight w:val="none"/>
                <w:lang w:val="en-US" w:eastAsia="zh-CN"/>
              </w:rPr>
              <w:t>中级</w:t>
            </w:r>
            <w:r>
              <w:rPr>
                <w:rFonts w:hint="eastAsia" w:ascii="仿宋" w:hAnsi="仿宋" w:eastAsia="仿宋" w:cs="仿宋"/>
                <w:color w:val="auto"/>
                <w:kern w:val="0"/>
                <w:sz w:val="24"/>
                <w:szCs w:val="24"/>
                <w:highlight w:val="none"/>
              </w:rPr>
              <w:t>工程师的，每</w:t>
            </w:r>
            <w:r>
              <w:rPr>
                <w:rFonts w:hint="eastAsia" w:ascii="仿宋" w:hAnsi="仿宋" w:eastAsia="仿宋" w:cs="仿宋"/>
                <w:color w:val="auto"/>
                <w:kern w:val="0"/>
                <w:sz w:val="24"/>
                <w:szCs w:val="24"/>
                <w:highlight w:val="none"/>
                <w:lang w:val="en-US" w:eastAsia="zh-CN"/>
              </w:rPr>
              <w:t>承诺</w:t>
            </w:r>
            <w:r>
              <w:rPr>
                <w:rFonts w:hint="eastAsia" w:ascii="仿宋" w:hAnsi="仿宋" w:eastAsia="仿宋" w:cs="仿宋"/>
                <w:color w:val="auto"/>
                <w:kern w:val="0"/>
                <w:sz w:val="24"/>
                <w:szCs w:val="24"/>
                <w:highlight w:val="none"/>
              </w:rPr>
              <w:t>1人得1分；本项最高得10分。</w:t>
            </w:r>
          </w:p>
          <w:p w14:paraId="33CB6835">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（提供相关</w:t>
            </w:r>
            <w:r>
              <w:rPr>
                <w:rFonts w:hint="eastAsia" w:ascii="仿宋" w:hAnsi="仿宋" w:eastAsia="仿宋" w:cs="仿宋"/>
                <w:color w:val="auto"/>
                <w:kern w:val="0"/>
                <w:sz w:val="24"/>
                <w:szCs w:val="24"/>
                <w:highlight w:val="none"/>
                <w:lang w:eastAsia="zh-CN"/>
              </w:rPr>
              <w:t>承诺函</w:t>
            </w:r>
            <w:r>
              <w:rPr>
                <w:rFonts w:hint="eastAsia" w:ascii="仿宋" w:hAnsi="仿宋" w:eastAsia="仿宋" w:cs="仿宋"/>
                <w:color w:val="auto"/>
                <w:kern w:val="0"/>
                <w:sz w:val="24"/>
                <w:szCs w:val="24"/>
                <w:highlight w:val="none"/>
              </w:rPr>
              <w:t>并加盖公章，未提供不予得分）</w:t>
            </w:r>
          </w:p>
          <w:p w14:paraId="23DDF71B">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3.设施配备（满分3分）</w:t>
            </w:r>
          </w:p>
          <w:p w14:paraId="22726FA9">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具备摄像机、照相机、扫描仪、打印机、复印机、投影仪、电脑等设施，设施齐备得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分；（以上均需提供企事业单位固定资产登记情况或固定资产证明清单及材料）</w:t>
            </w:r>
          </w:p>
        </w:tc>
      </w:tr>
      <w:tr w14:paraId="2DEC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7" w:type="pct"/>
            <w:vMerge w:val="restart"/>
            <w:noWrap w:val="0"/>
            <w:vAlign w:val="center"/>
          </w:tcPr>
          <w:p w14:paraId="4FC15CA0">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技术及管理水平</w:t>
            </w:r>
          </w:p>
        </w:tc>
        <w:tc>
          <w:tcPr>
            <w:tcW w:w="595" w:type="pct"/>
            <w:noWrap w:val="0"/>
            <w:vAlign w:val="center"/>
          </w:tcPr>
          <w:p w14:paraId="49ECE9C4">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评估工作流程及制度</w:t>
            </w:r>
          </w:p>
        </w:tc>
        <w:tc>
          <w:tcPr>
            <w:tcW w:w="363" w:type="pct"/>
            <w:noWrap w:val="0"/>
            <w:vAlign w:val="center"/>
          </w:tcPr>
          <w:p w14:paraId="7C12E148">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tc>
        <w:tc>
          <w:tcPr>
            <w:tcW w:w="3553" w:type="pct"/>
            <w:noWrap w:val="0"/>
            <w:vAlign w:val="center"/>
          </w:tcPr>
          <w:p w14:paraId="60818B10">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1.具有技术评估工作规范，且评估职责、流程、内容、方法规范明确的，得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分；具有技术评估工作规范，但评估职责、流程、内容、方法不</w:t>
            </w:r>
            <w:r>
              <w:rPr>
                <w:rFonts w:hint="eastAsia" w:ascii="仿宋" w:hAnsi="仿宋" w:eastAsia="仿宋" w:cs="仿宋"/>
                <w:color w:val="auto"/>
                <w:sz w:val="24"/>
                <w:szCs w:val="24"/>
                <w:highlight w:val="none"/>
                <w:lang w:val="en-US" w:eastAsia="zh-CN"/>
              </w:rPr>
              <w:t>够</w:t>
            </w:r>
            <w:r>
              <w:rPr>
                <w:rFonts w:hint="eastAsia" w:ascii="仿宋" w:hAnsi="仿宋" w:eastAsia="仿宋" w:cs="仿宋"/>
                <w:color w:val="auto"/>
                <w:sz w:val="24"/>
                <w:szCs w:val="24"/>
                <w:highlight w:val="none"/>
              </w:rPr>
              <w:t>规范、不</w:t>
            </w:r>
            <w:r>
              <w:rPr>
                <w:rFonts w:hint="eastAsia" w:ascii="仿宋" w:hAnsi="仿宋" w:eastAsia="仿宋" w:cs="仿宋"/>
                <w:color w:val="auto"/>
                <w:sz w:val="24"/>
                <w:szCs w:val="24"/>
                <w:highlight w:val="none"/>
                <w:lang w:val="en-US" w:eastAsia="zh-CN"/>
              </w:rPr>
              <w:t>够</w:t>
            </w:r>
            <w:r>
              <w:rPr>
                <w:rFonts w:hint="eastAsia" w:ascii="仿宋" w:hAnsi="仿宋" w:eastAsia="仿宋" w:cs="仿宋"/>
                <w:color w:val="auto"/>
                <w:sz w:val="24"/>
                <w:szCs w:val="24"/>
                <w:highlight w:val="none"/>
              </w:rPr>
              <w:t>明确的，得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分；不具技术评估工作规范的，得0分；</w:t>
            </w:r>
          </w:p>
          <w:p w14:paraId="656404D1">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2.具有技术评估质量控制制度，且三级审核质量控制明确的，得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分；具有技术评估质量控制制度，但三级审核质量控制不明确的，得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分；不具有技术评估质量控制制度的，得0分； (以上均提供制度文件或说明等证明材料)</w:t>
            </w:r>
          </w:p>
        </w:tc>
      </w:tr>
      <w:tr w14:paraId="7AAF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7" w:type="pct"/>
            <w:vMerge w:val="continue"/>
            <w:noWrap w:val="0"/>
            <w:vAlign w:val="center"/>
          </w:tcPr>
          <w:p w14:paraId="57A751B7">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p>
        </w:tc>
        <w:tc>
          <w:tcPr>
            <w:tcW w:w="595" w:type="pct"/>
            <w:noWrap w:val="0"/>
            <w:vAlign w:val="center"/>
          </w:tcPr>
          <w:p w14:paraId="36B8C4D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专家</w:t>
            </w:r>
            <w:r>
              <w:rPr>
                <w:rFonts w:hint="eastAsia" w:ascii="仿宋" w:hAnsi="仿宋" w:eastAsia="仿宋" w:cs="仿宋"/>
                <w:color w:val="auto"/>
                <w:sz w:val="24"/>
                <w:szCs w:val="24"/>
                <w:highlight w:val="none"/>
                <w:lang w:val="en-US" w:eastAsia="zh-CN"/>
              </w:rPr>
              <w:t>库使用</w:t>
            </w:r>
          </w:p>
        </w:tc>
        <w:tc>
          <w:tcPr>
            <w:tcW w:w="363" w:type="pct"/>
            <w:noWrap w:val="0"/>
            <w:vAlign w:val="center"/>
          </w:tcPr>
          <w:p w14:paraId="6F2EAB6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3553" w:type="pct"/>
            <w:noWrap w:val="0"/>
            <w:vAlign w:val="center"/>
          </w:tcPr>
          <w:p w14:paraId="4B78089F">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具有完整的环评评估专家库使用台账记录的（包括但不限于专家抽取记录、专家建议、对专家的评分等），得6分；专家库使用记录台账不完整的，得3分；无专家库使用记录的，得0分。（供应商提供专家库使用记录、评分记录台账文件、系统截图等）</w:t>
            </w:r>
          </w:p>
        </w:tc>
      </w:tr>
      <w:tr w14:paraId="41AB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87" w:type="pct"/>
            <w:vMerge w:val="restart"/>
            <w:noWrap w:val="0"/>
            <w:vAlign w:val="center"/>
          </w:tcPr>
          <w:p w14:paraId="466755E4">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单位业绩</w:t>
            </w:r>
          </w:p>
        </w:tc>
        <w:tc>
          <w:tcPr>
            <w:tcW w:w="595" w:type="pct"/>
            <w:noWrap w:val="0"/>
            <w:vAlign w:val="center"/>
          </w:tcPr>
          <w:p w14:paraId="49A3898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工作</w:t>
            </w:r>
          </w:p>
          <w:p w14:paraId="04E2E1E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业绩</w:t>
            </w:r>
          </w:p>
        </w:tc>
        <w:tc>
          <w:tcPr>
            <w:tcW w:w="363" w:type="pct"/>
            <w:noWrap w:val="0"/>
            <w:vAlign w:val="center"/>
          </w:tcPr>
          <w:p w14:paraId="09557D49">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c>
          <w:tcPr>
            <w:tcW w:w="3553" w:type="pct"/>
            <w:noWrap w:val="0"/>
            <w:vAlign w:val="center"/>
          </w:tcPr>
          <w:p w14:paraId="5CCBE3FC">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2023年1月1日以来，投标供应商承担过建设项目</w:t>
            </w:r>
            <w:r>
              <w:rPr>
                <w:rFonts w:hint="eastAsia" w:ascii="仿宋" w:hAnsi="仿宋" w:eastAsia="仿宋" w:cs="仿宋"/>
                <w:color w:val="auto"/>
                <w:kern w:val="0"/>
                <w:sz w:val="24"/>
                <w:szCs w:val="24"/>
                <w:highlight w:val="none"/>
                <w:lang w:eastAsia="zh-CN"/>
              </w:rPr>
              <w:t>、规划</w:t>
            </w:r>
            <w:r>
              <w:rPr>
                <w:rFonts w:hint="eastAsia" w:ascii="仿宋" w:hAnsi="仿宋" w:eastAsia="仿宋" w:cs="仿宋"/>
                <w:color w:val="auto"/>
                <w:kern w:val="0"/>
                <w:sz w:val="24"/>
                <w:szCs w:val="24"/>
                <w:highlight w:val="none"/>
              </w:rPr>
              <w:t>环境影响报告技术评估服务的，有1个得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分，最高得1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p w14:paraId="0C5095A0">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（响应文件中需要提供技术评估文件，业绩时间以技术评估文件</w:t>
            </w:r>
            <w:r>
              <w:rPr>
                <w:rFonts w:hint="eastAsia" w:ascii="仿宋" w:hAnsi="仿宋" w:eastAsia="仿宋" w:cs="仿宋"/>
                <w:color w:val="auto"/>
                <w:kern w:val="0"/>
                <w:sz w:val="24"/>
                <w:szCs w:val="24"/>
                <w:highlight w:val="none"/>
                <w:lang w:val="en-US" w:eastAsia="zh-CN"/>
              </w:rPr>
              <w:t>出具</w:t>
            </w:r>
            <w:r>
              <w:rPr>
                <w:rFonts w:hint="eastAsia" w:ascii="仿宋" w:hAnsi="仿宋" w:eastAsia="仿宋" w:cs="仿宋"/>
                <w:color w:val="auto"/>
                <w:kern w:val="0"/>
                <w:sz w:val="24"/>
                <w:szCs w:val="24"/>
                <w:highlight w:val="none"/>
              </w:rPr>
              <w:t>时间为准，同一项目不重复计分）</w:t>
            </w:r>
          </w:p>
        </w:tc>
      </w:tr>
      <w:tr w14:paraId="24AF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87" w:type="pct"/>
            <w:vMerge w:val="continue"/>
            <w:noWrap w:val="0"/>
            <w:vAlign w:val="center"/>
          </w:tcPr>
          <w:p w14:paraId="7CDA7870">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p>
        </w:tc>
        <w:tc>
          <w:tcPr>
            <w:tcW w:w="595" w:type="pct"/>
            <w:noWrap w:val="0"/>
            <w:vAlign w:val="center"/>
          </w:tcPr>
          <w:p w14:paraId="22580491">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评估工作质量</w:t>
            </w:r>
          </w:p>
        </w:tc>
        <w:tc>
          <w:tcPr>
            <w:tcW w:w="363" w:type="pct"/>
            <w:noWrap w:val="0"/>
            <w:vAlign w:val="center"/>
          </w:tcPr>
          <w:p w14:paraId="68724777">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分</w:t>
            </w:r>
          </w:p>
        </w:tc>
        <w:tc>
          <w:tcPr>
            <w:tcW w:w="3553" w:type="pct"/>
            <w:noWrap w:val="0"/>
            <w:vAlign w:val="center"/>
          </w:tcPr>
          <w:p w14:paraId="589C7BD3">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1.评估涉及行业（满分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13B3F957">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开展过环境影响报告书（表）质量技术评估工作的，其中涉及《国民经济行业分类》制造业（C类）不同细分行业</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个，其他类别（非C类）不同细分行业</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涉及《国民经济行业分类》制造业（C类）不同细分行业</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个，其他类别（非C类）不同细分行业</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不满足</w:t>
            </w:r>
            <w:r>
              <w:rPr>
                <w:rFonts w:hint="eastAsia" w:ascii="仿宋" w:hAnsi="仿宋" w:eastAsia="仿宋" w:cs="仿宋"/>
                <w:color w:val="auto"/>
                <w:sz w:val="24"/>
                <w:szCs w:val="24"/>
                <w:highlight w:val="none"/>
              </w:rPr>
              <w:t>得0分；（提供不同细分行业的评估意见复印件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技术评估文件出具时间</w:t>
            </w:r>
            <w:r>
              <w:rPr>
                <w:rFonts w:hint="eastAsia" w:ascii="仿宋" w:hAnsi="仿宋" w:eastAsia="仿宋" w:cs="仿宋"/>
                <w:color w:val="auto"/>
                <w:sz w:val="24"/>
                <w:szCs w:val="24"/>
                <w:highlight w:val="none"/>
                <w:lang w:val="en-US" w:eastAsia="zh-CN"/>
              </w:rPr>
              <w:t>需满足“工作业绩”栏时间要求</w:t>
            </w:r>
            <w:r>
              <w:rPr>
                <w:rFonts w:hint="eastAsia" w:ascii="仿宋" w:hAnsi="仿宋" w:eastAsia="仿宋" w:cs="仿宋"/>
                <w:color w:val="auto"/>
                <w:sz w:val="24"/>
                <w:szCs w:val="24"/>
                <w:highlight w:val="none"/>
              </w:rPr>
              <w:t>）</w:t>
            </w:r>
          </w:p>
          <w:p w14:paraId="0B368A16">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2.评估工作质量（满分1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04C9FA12">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评估意见包括：评估过程、项目概况、环境概况（包含环境敏感目标）、环境质量现状、环境保护措施、污染物排放总量、评估结论、建议、问题与说明的，且评估意见、规范、结论明确的得1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2B681CD4">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评估意见包含内容一般全面，但评估意见、规范、结论</w:t>
            </w:r>
            <w:bookmarkStart w:id="12" w:name="OLE_LINK7"/>
            <w:r>
              <w:rPr>
                <w:rFonts w:hint="eastAsia" w:ascii="仿宋" w:hAnsi="仿宋" w:eastAsia="仿宋" w:cs="仿宋"/>
                <w:color w:val="auto"/>
                <w:sz w:val="24"/>
                <w:szCs w:val="24"/>
                <w:highlight w:val="none"/>
              </w:rPr>
              <w:t>均</w:t>
            </w:r>
            <w:bookmarkEnd w:id="12"/>
            <w:r>
              <w:rPr>
                <w:rFonts w:hint="eastAsia" w:ascii="仿宋" w:hAnsi="仿宋" w:eastAsia="仿宋" w:cs="仿宋"/>
                <w:color w:val="auto"/>
                <w:sz w:val="24"/>
                <w:szCs w:val="24"/>
                <w:highlight w:val="none"/>
              </w:rPr>
              <w:t>明确的得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p w14:paraId="25059F3C">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评估意见包含内容一般全面，但评估意见、规范、结论任意一项不明确的得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1F82D7D1">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评估意见包含内容不全面，评估意见、规范、结论任意一项不明确的得3分。</w:t>
            </w:r>
          </w:p>
          <w:p w14:paraId="2D8DA378">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评估意见包含内容不全面，评估意见、规范、结论每一项都不明确的得0分。</w:t>
            </w:r>
          </w:p>
          <w:p w14:paraId="0597C2CB">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（《国民经济行业分类》制造业（C类）和其他类别（非C类）分别各提供一套具有代表性的技术评估意见、专家评审会会议通知、会议签到表、专家评审意见等证明材料复印件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技术评估文件出具时间</w:t>
            </w:r>
            <w:r>
              <w:rPr>
                <w:rFonts w:hint="eastAsia" w:ascii="仿宋" w:hAnsi="仿宋" w:eastAsia="仿宋" w:cs="仿宋"/>
                <w:color w:val="auto"/>
                <w:sz w:val="24"/>
                <w:szCs w:val="24"/>
                <w:highlight w:val="none"/>
                <w:lang w:val="en-US" w:eastAsia="zh-CN"/>
              </w:rPr>
              <w:t>需满足“工作业绩”栏时间要求</w:t>
            </w:r>
            <w:r>
              <w:rPr>
                <w:rFonts w:hint="eastAsia" w:ascii="仿宋" w:hAnsi="仿宋" w:eastAsia="仿宋" w:cs="仿宋"/>
                <w:color w:val="auto"/>
                <w:sz w:val="24"/>
                <w:szCs w:val="24"/>
                <w:highlight w:val="none"/>
              </w:rPr>
              <w:t>）</w:t>
            </w:r>
          </w:p>
        </w:tc>
      </w:tr>
      <w:tr w14:paraId="1026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487" w:type="pct"/>
            <w:tcBorders>
              <w:right w:val="single" w:color="000000" w:sz="4" w:space="0"/>
            </w:tcBorders>
            <w:noWrap w:val="0"/>
            <w:vAlign w:val="center"/>
          </w:tcPr>
          <w:p w14:paraId="0EEB6FC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服务承诺</w:t>
            </w:r>
          </w:p>
        </w:tc>
        <w:tc>
          <w:tcPr>
            <w:tcW w:w="595" w:type="pct"/>
            <w:tcBorders>
              <w:left w:val="single" w:color="000000" w:sz="4" w:space="0"/>
            </w:tcBorders>
            <w:noWrap w:val="0"/>
            <w:vAlign w:val="center"/>
          </w:tcPr>
          <w:p w14:paraId="62CC4A7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w:t>
            </w:r>
          </w:p>
          <w:p w14:paraId="40D9EFFF">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承诺</w:t>
            </w:r>
          </w:p>
        </w:tc>
        <w:tc>
          <w:tcPr>
            <w:tcW w:w="363" w:type="pct"/>
            <w:noWrap w:val="0"/>
            <w:vAlign w:val="center"/>
          </w:tcPr>
          <w:p w14:paraId="3BDA7136">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w:t>
            </w:r>
          </w:p>
        </w:tc>
        <w:tc>
          <w:tcPr>
            <w:tcW w:w="3553" w:type="pct"/>
            <w:noWrap w:val="0"/>
            <w:vAlign w:val="center"/>
          </w:tcPr>
          <w:p w14:paraId="2F56D33E">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承诺执行环评评估廉政规定，得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b/>
                <w:bCs/>
                <w:color w:val="auto"/>
                <w:kern w:val="0"/>
                <w:sz w:val="24"/>
                <w:szCs w:val="24"/>
                <w:highlight w:val="none"/>
              </w:rPr>
              <w:t>投标时需提供承诺函，未提供不得分。</w:t>
            </w:r>
          </w:p>
        </w:tc>
      </w:tr>
    </w:tbl>
    <w:p w14:paraId="36464892">
      <w:pPr>
        <w:snapToGrid w:val="0"/>
        <w:spacing w:line="360" w:lineRule="auto"/>
        <w:ind w:firstLine="440" w:firstLineChars="200"/>
        <w:jc w:val="left"/>
        <w:rPr>
          <w:rFonts w:hint="eastAsia" w:ascii="Times New Roman" w:hAnsi="Times New Roman" w:eastAsia="宋体" w:cs="Times New Roman"/>
          <w:color w:val="auto"/>
          <w:sz w:val="22"/>
          <w:szCs w:val="22"/>
          <w:highlight w:val="none"/>
        </w:rPr>
      </w:pPr>
    </w:p>
    <w:p w14:paraId="2E10C3E4">
      <w:pPr>
        <w:snapToGrid w:val="0"/>
        <w:spacing w:line="360" w:lineRule="auto"/>
        <w:ind w:firstLine="440" w:firstLineChars="200"/>
        <w:jc w:val="left"/>
        <w:rPr>
          <w:rFonts w:hint="eastAsia" w:ascii="Times New Roman" w:hAnsi="Times New Roman" w:eastAsia="宋体" w:cs="Times New Roman"/>
          <w:color w:val="auto"/>
          <w:sz w:val="22"/>
          <w:szCs w:val="22"/>
          <w:highlight w:val="none"/>
        </w:rPr>
      </w:pPr>
    </w:p>
    <w:p w14:paraId="55CB0ADA">
      <w:pPr>
        <w:snapToGrid w:val="0"/>
        <w:spacing w:line="360" w:lineRule="auto"/>
        <w:ind w:firstLine="440" w:firstLineChars="2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注：评标办法中涉及人员证书、业绩合同等证明材料，如为复印件均须加盖供应商公章，否则该项不得分。上述涉及可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485307B0">
      <w:pPr>
        <w:pStyle w:val="16"/>
        <w:snapToGrid w:val="0"/>
        <w:spacing w:line="360" w:lineRule="auto"/>
        <w:ind w:firstLine="482" w:firstLineChars="200"/>
        <w:contextualSpacing/>
        <w:jc w:val="left"/>
        <w:rPr>
          <w:rFonts w:hint="eastAsia"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b/>
          <w:bCs/>
          <w:color w:val="auto"/>
          <w:kern w:val="2"/>
          <w:sz w:val="24"/>
          <w:szCs w:val="24"/>
          <w:highlight w:val="none"/>
        </w:rPr>
        <w:t>（二）价格分：</w:t>
      </w:r>
      <w:r>
        <w:rPr>
          <w:rFonts w:hint="eastAsia" w:ascii="Times New Roman" w:hAnsi="Times New Roman" w:eastAsia="宋体" w:cs="Times New Roman"/>
          <w:b/>
          <w:bCs/>
          <w:color w:val="auto"/>
          <w:kern w:val="2"/>
          <w:sz w:val="24"/>
          <w:szCs w:val="24"/>
          <w:highlight w:val="none"/>
          <w:lang w:val="en-US" w:eastAsia="zh-CN"/>
        </w:rPr>
        <w:t>2</w:t>
      </w:r>
      <w:r>
        <w:rPr>
          <w:rFonts w:hint="eastAsia" w:ascii="Times New Roman" w:hAnsi="Times New Roman" w:eastAsia="宋体" w:cs="Times New Roman"/>
          <w:b/>
          <w:bCs/>
          <w:color w:val="auto"/>
          <w:kern w:val="2"/>
          <w:sz w:val="24"/>
          <w:szCs w:val="24"/>
          <w:highlight w:val="none"/>
        </w:rPr>
        <w:t>0分</w:t>
      </w:r>
    </w:p>
    <w:p w14:paraId="73657DD7">
      <w:pPr>
        <w:snapToGrid w:val="0"/>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综合评分法中的价格分统一采用</w:t>
      </w:r>
      <w:r>
        <w:rPr>
          <w:rFonts w:hint="eastAsia" w:ascii="Times New Roman" w:hAnsi="Times New Roman" w:eastAsia="宋体" w:cs="Times New Roman"/>
          <w:b/>
          <w:bCs/>
          <w:color w:val="auto"/>
          <w:sz w:val="24"/>
          <w:highlight w:val="none"/>
        </w:rPr>
        <w:t>低价优先法</w:t>
      </w:r>
      <w:r>
        <w:rPr>
          <w:rFonts w:hint="eastAsia" w:ascii="Times New Roman" w:hAnsi="Times New Roman" w:eastAsia="宋体" w:cs="Times New Roman"/>
          <w:color w:val="auto"/>
          <w:sz w:val="24"/>
          <w:highlight w:val="none"/>
        </w:rPr>
        <w:t>计算，即满足磋商文件要求且最后报价最低的供应商的价格为磋商基准价，其价格分为满分。其他供应商的价格分统一按照下列公式计算：</w:t>
      </w:r>
    </w:p>
    <w:p w14:paraId="7888D148">
      <w:pPr>
        <w:snapToGrid w:val="0"/>
        <w:spacing w:line="360" w:lineRule="auto"/>
        <w:ind w:firstLine="482" w:firstLineChars="200"/>
        <w:jc w:val="left"/>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磋商报价得分=（磋商基准价/最后磋商报价）×</w:t>
      </w:r>
      <w:r>
        <w:rPr>
          <w:rFonts w:hint="eastAsia" w:cs="Times New Roman"/>
          <w:b/>
          <w:bCs/>
          <w:color w:val="auto"/>
          <w:sz w:val="24"/>
          <w:highlight w:val="none"/>
          <w:lang w:val="en-US" w:eastAsia="zh-CN"/>
        </w:rPr>
        <w:t>价格分权重</w:t>
      </w:r>
      <w:r>
        <w:rPr>
          <w:rFonts w:hint="eastAsia" w:ascii="Times New Roman" w:hAnsi="Times New Roman" w:eastAsia="宋体" w:cs="Times New Roman"/>
          <w:b/>
          <w:bCs/>
          <w:color w:val="auto"/>
          <w:sz w:val="24"/>
          <w:highlight w:val="none"/>
        </w:rPr>
        <w:t>×100</w:t>
      </w:r>
    </w:p>
    <w:p w14:paraId="170C8F8B">
      <w:pPr>
        <w:snapToGrid w:val="0"/>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项目评审过程中，不得去掉最后报价中的最高报价和最低报价。</w:t>
      </w:r>
    </w:p>
    <w:p w14:paraId="28A24C25">
      <w:pPr>
        <w:snapToGrid w:val="0"/>
        <w:spacing w:line="360" w:lineRule="auto"/>
        <w:ind w:firstLine="482" w:firstLineChars="200"/>
        <w:jc w:val="left"/>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B65EE7">
      <w:pPr>
        <w:snapToGrid w:val="0"/>
        <w:spacing w:line="360" w:lineRule="auto"/>
        <w:ind w:firstLine="484" w:firstLineChars="202"/>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出现下列情形之一的，</w:t>
      </w:r>
      <w:r>
        <w:rPr>
          <w:rFonts w:hint="eastAsia" w:ascii="Times New Roman" w:hAnsi="Times New Roman" w:eastAsia="宋体" w:cs="Times New Roman"/>
          <w:b w:val="0"/>
          <w:bCs w:val="0"/>
          <w:color w:val="auto"/>
          <w:sz w:val="24"/>
          <w:szCs w:val="24"/>
          <w:highlight w:val="none"/>
          <w:lang w:eastAsia="zh-CN"/>
        </w:rPr>
        <w:t>询价小组</w:t>
      </w:r>
      <w:r>
        <w:rPr>
          <w:rFonts w:hint="eastAsia" w:ascii="Times New Roman" w:hAnsi="Times New Roman" w:eastAsia="宋体" w:cs="Times New Roman"/>
          <w:b w:val="0"/>
          <w:bCs w:val="0"/>
          <w:color w:val="auto"/>
          <w:sz w:val="24"/>
          <w:szCs w:val="24"/>
          <w:highlight w:val="none"/>
        </w:rPr>
        <w:t>应当启动异常低价响应审查程序：</w:t>
      </w:r>
    </w:p>
    <w:p w14:paraId="0248B84F">
      <w:pPr>
        <w:spacing w:line="360" w:lineRule="auto"/>
        <w:ind w:firstLine="480"/>
        <w:rPr>
          <w:rFonts w:hint="eastAsia" w:eastAsia="宋体" w:cs="宋体"/>
          <w:b w:val="0"/>
          <w:bCs w:val="0"/>
          <w:color w:val="auto"/>
          <w:sz w:val="24"/>
          <w:szCs w:val="24"/>
          <w:highlight w:val="none"/>
        </w:rPr>
      </w:pPr>
      <w:r>
        <w:rPr>
          <w:rFonts w:hint="eastAsia" w:eastAsia="宋体" w:cs="宋体"/>
          <w:b w:val="0"/>
          <w:bCs w:val="0"/>
          <w:color w:val="auto"/>
          <w:sz w:val="24"/>
          <w:szCs w:val="24"/>
          <w:highlight w:val="none"/>
        </w:rPr>
        <w:t>1.投标（响应）报价低于全部通过符合性审查供应商投标（响应）报价平均值50%的，即投标（响应）报价&lt;全部通过符合性审查供应商投标（响应）报价平均值×50%；</w:t>
      </w:r>
    </w:p>
    <w:p w14:paraId="693CAC24">
      <w:pPr>
        <w:spacing w:line="360" w:lineRule="auto"/>
        <w:ind w:firstLine="480"/>
        <w:rPr>
          <w:rFonts w:hint="eastAsia" w:eastAsia="宋体" w:cs="宋体"/>
          <w:b w:val="0"/>
          <w:bCs w:val="0"/>
          <w:color w:val="auto"/>
          <w:sz w:val="24"/>
          <w:szCs w:val="24"/>
          <w:highlight w:val="none"/>
        </w:rPr>
      </w:pPr>
      <w:r>
        <w:rPr>
          <w:rFonts w:hint="eastAsia" w:eastAsia="宋体" w:cs="宋体"/>
          <w:b w:val="0"/>
          <w:bCs w:val="0"/>
          <w:color w:val="auto"/>
          <w:sz w:val="24"/>
          <w:szCs w:val="24"/>
          <w:highlight w:val="none"/>
        </w:rPr>
        <w:t>2.投标（响应）报价低于通过符合性审查的次低报价供应商投标（响应）报价50%的，即投标（响应）报价&lt;通过符合性审查的次低报价供应商投标（响应）报价×50%；</w:t>
      </w:r>
    </w:p>
    <w:p w14:paraId="46E12B13">
      <w:pPr>
        <w:spacing w:line="360" w:lineRule="auto"/>
        <w:ind w:firstLine="480"/>
        <w:rPr>
          <w:rFonts w:hint="eastAsia" w:eastAsia="宋体" w:cs="宋体"/>
          <w:b w:val="0"/>
          <w:bCs w:val="0"/>
          <w:color w:val="auto"/>
          <w:sz w:val="24"/>
          <w:szCs w:val="24"/>
          <w:highlight w:val="none"/>
        </w:rPr>
      </w:pPr>
      <w:r>
        <w:rPr>
          <w:rFonts w:hint="eastAsia" w:eastAsia="宋体" w:cs="宋体"/>
          <w:b w:val="0"/>
          <w:bCs w:val="0"/>
          <w:color w:val="auto"/>
          <w:sz w:val="24"/>
          <w:szCs w:val="24"/>
          <w:highlight w:val="none"/>
        </w:rPr>
        <w:t>3.投标（响应）报价低于采购项目最高限价45%的，即投标（响应）报价&lt;采购项目最高限价×45%；</w:t>
      </w:r>
    </w:p>
    <w:p w14:paraId="7023DF1F">
      <w:pPr>
        <w:spacing w:line="360" w:lineRule="auto"/>
        <w:ind w:firstLine="480"/>
        <w:rPr>
          <w:rFonts w:hint="eastAsia" w:eastAsia="宋体" w:cs="宋体"/>
          <w:b w:val="0"/>
          <w:bCs w:val="0"/>
          <w:color w:val="auto"/>
          <w:sz w:val="24"/>
          <w:szCs w:val="24"/>
          <w:highlight w:val="none"/>
        </w:rPr>
      </w:pPr>
      <w:r>
        <w:rPr>
          <w:rFonts w:hint="eastAsia" w:eastAsia="宋体" w:cs="宋体"/>
          <w:b w:val="0"/>
          <w:bCs w:val="0"/>
          <w:color w:val="auto"/>
          <w:sz w:val="24"/>
          <w:szCs w:val="24"/>
          <w:highlight w:val="none"/>
        </w:rPr>
        <w:t>4.评审委员会基于专业判断，认为供应商报价过低，有可能影响产品质量或者不能诚信履约的其他情形。</w:t>
      </w:r>
    </w:p>
    <w:p w14:paraId="75969DC4">
      <w:pPr>
        <w:spacing w:line="360" w:lineRule="auto"/>
        <w:ind w:firstLine="480"/>
        <w:rPr>
          <w:rFonts w:hint="eastAsia" w:ascii="Times New Roman" w:hAnsi="Times New Roman" w:eastAsia="宋体" w:cs="Times New Roman"/>
          <w:color w:val="auto"/>
          <w:sz w:val="24"/>
          <w:szCs w:val="24"/>
          <w:highlight w:val="none"/>
        </w:rPr>
      </w:pPr>
      <w:r>
        <w:rPr>
          <w:rFonts w:hint="eastAsia" w:eastAsia="宋体" w:cs="宋体"/>
          <w:b w:val="0"/>
          <w:bCs w:val="0"/>
          <w:color w:val="auto"/>
          <w:sz w:val="24"/>
          <w:szCs w:val="24"/>
          <w:highlight w:val="none"/>
        </w:rPr>
        <w:t>相关法律法规对供应商报价有规定的，从其规定。</w:t>
      </w:r>
    </w:p>
    <w:p w14:paraId="052AC8A0">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启动异常低价响应审查后，</w:t>
      </w:r>
      <w:r>
        <w:rPr>
          <w:rFonts w:hint="eastAsia" w:eastAsia="宋体" w:cs="Times New Roman"/>
          <w:color w:val="auto"/>
          <w:sz w:val="24"/>
          <w:szCs w:val="24"/>
          <w:highlight w:val="none"/>
          <w:lang w:val="en-US" w:eastAsia="zh-CN"/>
        </w:rPr>
        <w:t>评审</w:t>
      </w:r>
      <w:r>
        <w:rPr>
          <w:rFonts w:hint="eastAsia" w:ascii="Times New Roman" w:hAnsi="Times New Roman" w:eastAsia="宋体" w:cs="Times New Roman"/>
          <w:color w:val="auto"/>
          <w:sz w:val="24"/>
          <w:szCs w:val="24"/>
          <w:highlight w:val="none"/>
          <w:lang w:eastAsia="zh-CN"/>
        </w:rPr>
        <w:t>小组</w:t>
      </w:r>
      <w:r>
        <w:rPr>
          <w:rFonts w:hint="eastAsia" w:ascii="Times New Roman" w:hAnsi="Times New Roman" w:eastAsia="宋体" w:cs="Times New Roman"/>
          <w:color w:val="auto"/>
          <w:sz w:val="24"/>
          <w:szCs w:val="24"/>
          <w:highlight w:val="none"/>
        </w:rPr>
        <w:t>将要求相关供应商在合理的时间内提供项目具体成本测算等与报价合理性相关的书面说明及相关证明材料，对响应价格作出解释，由</w:t>
      </w:r>
      <w:r>
        <w:rPr>
          <w:rFonts w:hint="eastAsia" w:ascii="Times New Roman" w:hAnsi="Times New Roman" w:eastAsia="宋体" w:cs="Times New Roman"/>
          <w:color w:val="auto"/>
          <w:sz w:val="24"/>
          <w:szCs w:val="24"/>
          <w:highlight w:val="none"/>
          <w:lang w:eastAsia="zh-CN"/>
        </w:rPr>
        <w:t>询价小组</w:t>
      </w:r>
      <w:r>
        <w:rPr>
          <w:rFonts w:hint="eastAsia" w:ascii="Times New Roman" w:hAnsi="Times New Roman" w:eastAsia="宋体" w:cs="Times New Roman"/>
          <w:color w:val="auto"/>
          <w:sz w:val="24"/>
          <w:szCs w:val="24"/>
          <w:highlight w:val="none"/>
        </w:rPr>
        <w:t>结合同类产品在主要电商平台的价格、该行业当地薪资水平等情况，依据专业经验对供应商报价合理性进行判断。</w:t>
      </w:r>
    </w:p>
    <w:p w14:paraId="107051BA">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响应供应商不提供书面说明、证明材料，或者提供的书面说明、证明材料不能证明其报价合理性的，</w:t>
      </w:r>
      <w:r>
        <w:rPr>
          <w:rFonts w:hint="eastAsia" w:ascii="Times New Roman" w:hAnsi="Times New Roman" w:eastAsia="宋体" w:cs="Times New Roman"/>
          <w:color w:val="auto"/>
          <w:sz w:val="24"/>
          <w:szCs w:val="24"/>
          <w:highlight w:val="none"/>
          <w:lang w:eastAsia="zh-CN"/>
        </w:rPr>
        <w:t>询价小组</w:t>
      </w:r>
      <w:r>
        <w:rPr>
          <w:rFonts w:hint="eastAsia" w:ascii="Times New Roman" w:hAnsi="Times New Roman" w:eastAsia="宋体" w:cs="Times New Roman"/>
          <w:color w:val="auto"/>
          <w:sz w:val="24"/>
          <w:szCs w:val="24"/>
          <w:highlight w:val="none"/>
        </w:rPr>
        <w:t>应当将其作为无效响应处理。审查相关情况应当在评审报告中进行记录。</w:t>
      </w:r>
    </w:p>
    <w:p w14:paraId="2A245B45">
      <w:pPr>
        <w:adjustRightInd w:val="0"/>
        <w:snapToGrid w:val="0"/>
        <w:spacing w:line="360" w:lineRule="auto"/>
        <w:ind w:firstLine="480" w:firstLineChars="200"/>
        <w:rPr>
          <w:rFonts w:ascii="宋体" w:hAnsi="宋体" w:cs="宋体"/>
          <w:b w:val="0"/>
          <w:bCs w:val="0"/>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三</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政府采购政策功能落实</w:t>
      </w:r>
    </w:p>
    <w:p w14:paraId="04C02040">
      <w:pPr>
        <w:adjustRightInd w:val="0"/>
        <w:snapToGrid w:val="0"/>
        <w:spacing w:line="360" w:lineRule="auto"/>
        <w:ind w:firstLine="480" w:firstLineChars="200"/>
        <w:jc w:val="left"/>
        <w:textAlignment w:val="baseline"/>
        <w:rPr>
          <w:rFonts w:ascii="宋体" w:hAnsi="宋体" w:cs="宋体"/>
          <w:b w:val="0"/>
          <w:bCs w:val="0"/>
          <w:color w:val="auto"/>
          <w:sz w:val="24"/>
          <w:highlight w:val="none"/>
        </w:rPr>
      </w:pPr>
      <w:r>
        <w:rPr>
          <w:rFonts w:hint="eastAsia" w:ascii="宋体" w:hAnsi="宋体" w:cs="宋体"/>
          <w:b w:val="0"/>
          <w:bCs w:val="0"/>
          <w:color w:val="auto"/>
          <w:sz w:val="24"/>
          <w:highlight w:val="none"/>
        </w:rPr>
        <w:t>1、小微型企业价格扣除</w:t>
      </w:r>
    </w:p>
    <w:p w14:paraId="3A0F8B42">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（1）本项目对小型和微型企业给予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0%</w:t>
      </w:r>
      <w:r>
        <w:rPr>
          <w:rFonts w:hint="eastAsia" w:ascii="宋体" w:hAnsi="宋体" w:cs="宋体"/>
          <w:color w:val="auto"/>
          <w:sz w:val="24"/>
          <w:highlight w:val="none"/>
        </w:rPr>
        <w:t>的扣除价格，用扣除后的价格参与评审。</w:t>
      </w:r>
    </w:p>
    <w:p w14:paraId="2E1A9AEA">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（2）投标人需按照中标文件的要求提供相应的《中小企业声明函》。</w:t>
      </w:r>
    </w:p>
    <w:p w14:paraId="069B1675">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（3）企业标准请参照《关于印发中小企业划型标准规定的通知》（工信部联企业[2011]300号）文件规定自行填写。</w:t>
      </w:r>
    </w:p>
    <w:p w14:paraId="54BF9793">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2、残疾人福利单位价格扣除</w:t>
      </w:r>
    </w:p>
    <w:p w14:paraId="4F6D377E">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（1）本项目对残疾人福利性单位视同小型、微型企业，给予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0%</w:t>
      </w:r>
      <w:r>
        <w:rPr>
          <w:rFonts w:hint="eastAsia" w:ascii="宋体" w:hAnsi="宋体" w:cs="宋体"/>
          <w:color w:val="auto"/>
          <w:sz w:val="24"/>
          <w:highlight w:val="none"/>
        </w:rPr>
        <w:t>的价格扣除，用扣除后的价格参与评审。</w:t>
      </w:r>
    </w:p>
    <w:p w14:paraId="5451FF66">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（2）残疾人福利单位需按照招标文件的要求提供《残疾人福利性单位声明函》。</w:t>
      </w:r>
    </w:p>
    <w:p w14:paraId="634A1822">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（3）残疾人福利单位标准请参照《关于促进残疾人就业政府采购政策的通知》（财库〔2017〕141号）。</w:t>
      </w:r>
    </w:p>
    <w:p w14:paraId="414FF384">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3、监狱和戒毒企业价格扣除</w:t>
      </w:r>
    </w:p>
    <w:p w14:paraId="25A43F2C">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（1）本项目对监狱和戒毒企业（简称监狱企业）视同小型、微型企业，给予</w:t>
      </w:r>
      <w:r>
        <w:rPr>
          <w:rFonts w:hint="eastAsia" w:ascii="宋体" w:hAnsi="宋体" w:cs="宋体"/>
          <w:color w:val="auto"/>
          <w:sz w:val="24"/>
          <w:highlight w:val="none"/>
          <w:u w:val="single"/>
        </w:rPr>
        <w:t>20%</w:t>
      </w:r>
      <w:r>
        <w:rPr>
          <w:rFonts w:hint="eastAsia" w:ascii="宋体" w:hAnsi="宋体" w:cs="宋体"/>
          <w:color w:val="auto"/>
          <w:sz w:val="24"/>
          <w:highlight w:val="none"/>
        </w:rPr>
        <w:t>的价格扣除，用扣除后的价格参与评审。</w:t>
      </w:r>
    </w:p>
    <w:p w14:paraId="4D24F3A1">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（2）监狱企业参加政府采购活动时，需提供由省级以上监狱管理局、戒毒管理局(含新疆生产建设兵团)出具的属于监狱企业的证明文件。</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如不提供上述证明文件，价格将不做相应扣除。</w:t>
      </w:r>
    </w:p>
    <w:p w14:paraId="5D233D82">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（3）监狱企业标准请参照《关于政府采购支持监狱企业发展有关问题的通知》（财库[2014]68号）。</w:t>
      </w:r>
    </w:p>
    <w:p w14:paraId="0EE5E89E">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4、残疾人福利单位、监狱企业属于小型、微型企业的，不重复享受政策。</w:t>
      </w:r>
    </w:p>
    <w:p w14:paraId="34736139">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如本项目同意联合体参加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color w:val="auto"/>
          <w:sz w:val="24"/>
          <w:highlight w:val="none"/>
          <w:u w:val="single"/>
        </w:rPr>
        <w:t>6%</w:t>
      </w:r>
      <w:r>
        <w:rPr>
          <w:rFonts w:hint="eastAsia" w:ascii="宋体" w:hAnsi="宋体" w:cs="宋体"/>
          <w:color w:val="auto"/>
          <w:sz w:val="24"/>
          <w:highlight w:val="none"/>
        </w:rPr>
        <w:t>的价格扣除，用扣除后的价格参与评审。</w:t>
      </w:r>
    </w:p>
    <w:p w14:paraId="40D44D2B">
      <w:pPr>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6、联合体各方均为小型、微型企业（残疾人福利单位、监狱企业）的，联合体享受</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0%</w:t>
      </w:r>
      <w:r>
        <w:rPr>
          <w:rFonts w:hint="eastAsia" w:ascii="宋体" w:hAnsi="宋体" w:cs="宋体"/>
          <w:color w:val="auto"/>
          <w:sz w:val="24"/>
          <w:highlight w:val="none"/>
        </w:rPr>
        <w:t>价格扣除，用扣除后的价格参与评审。</w:t>
      </w:r>
    </w:p>
    <w:p w14:paraId="4D0BD3C8">
      <w:pPr>
        <w:snapToGrid w:val="0"/>
        <w:spacing w:line="360" w:lineRule="auto"/>
        <w:ind w:firstLine="484" w:firstLineChars="202"/>
        <w:rPr>
          <w:rFonts w:hint="default" w:ascii="Times New Roman" w:hAnsi="Times New Roman" w:eastAsia="宋体" w:cs="Times New Roman"/>
          <w:color w:val="auto"/>
          <w:sz w:val="24"/>
          <w:szCs w:val="24"/>
          <w:highlight w:val="none"/>
          <w:lang w:val="en-US" w:eastAsia="zh-CN"/>
        </w:rPr>
      </w:pPr>
      <w:r>
        <w:rPr>
          <w:rFonts w:hint="eastAsia" w:ascii="宋体" w:hAnsi="宋体" w:cs="宋体"/>
          <w:color w:val="auto"/>
          <w:sz w:val="24"/>
          <w:highlight w:val="none"/>
        </w:rPr>
        <w:t>7、</w:t>
      </w:r>
      <w:r>
        <w:rPr>
          <w:rFonts w:hint="eastAsia" w:ascii="宋体" w:hAnsi="宋体" w:cs="宋体"/>
          <w:bCs/>
          <w:color w:val="auto"/>
          <w:sz w:val="24"/>
          <w:highlight w:val="none"/>
        </w:rPr>
        <w:t>专门面向中小微企业采购的项目或者采购包，不再执行价格评审优惠的扶持政策。</w:t>
      </w:r>
    </w:p>
    <w:p w14:paraId="21E828B5">
      <w:pPr>
        <w:snapToGrid w:val="0"/>
        <w:spacing w:line="360" w:lineRule="auto"/>
        <w:ind w:firstLine="482" w:firstLineChars="200"/>
        <w:jc w:val="left"/>
        <w:rPr>
          <w:b/>
          <w:bCs/>
          <w:color w:val="auto"/>
          <w:sz w:val="24"/>
          <w:highlight w:val="none"/>
        </w:rPr>
      </w:pPr>
      <w:r>
        <w:rPr>
          <w:rFonts w:hint="eastAsia"/>
          <w:b/>
          <w:bCs/>
          <w:color w:val="auto"/>
          <w:sz w:val="24"/>
          <w:highlight w:val="none"/>
          <w:lang w:val="en-US" w:eastAsia="zh-CN"/>
        </w:rPr>
        <w:t>六</w:t>
      </w:r>
      <w:r>
        <w:rPr>
          <w:b/>
          <w:bCs/>
          <w:color w:val="auto"/>
          <w:sz w:val="24"/>
          <w:highlight w:val="none"/>
        </w:rPr>
        <w:t>、出现下列情形之一的，竞争性磋商采购活动终止，发布项目终止公告并说明原因，重新开展采购活动：</w:t>
      </w:r>
    </w:p>
    <w:p w14:paraId="4BD369D1">
      <w:pPr>
        <w:snapToGrid w:val="0"/>
        <w:spacing w:line="360" w:lineRule="auto"/>
        <w:ind w:firstLine="480" w:firstLineChars="200"/>
        <w:jc w:val="left"/>
        <w:rPr>
          <w:color w:val="auto"/>
          <w:sz w:val="24"/>
          <w:highlight w:val="none"/>
        </w:rPr>
      </w:pPr>
      <w:r>
        <w:rPr>
          <w:color w:val="auto"/>
          <w:sz w:val="24"/>
          <w:highlight w:val="none"/>
        </w:rPr>
        <w:t>(一)因情况变化，不再符合规定的竞争性磋商采购方式适用情形的；</w:t>
      </w:r>
    </w:p>
    <w:p w14:paraId="2B90EF29">
      <w:pPr>
        <w:snapToGrid w:val="0"/>
        <w:spacing w:line="360" w:lineRule="auto"/>
        <w:ind w:firstLine="480" w:firstLineChars="200"/>
        <w:jc w:val="left"/>
        <w:rPr>
          <w:color w:val="auto"/>
          <w:sz w:val="24"/>
          <w:highlight w:val="none"/>
        </w:rPr>
      </w:pPr>
      <w:r>
        <w:rPr>
          <w:color w:val="auto"/>
          <w:sz w:val="24"/>
          <w:highlight w:val="none"/>
        </w:rPr>
        <w:t>(二)出现影响采购公正的违法、违规行为的；</w:t>
      </w:r>
    </w:p>
    <w:p w14:paraId="2334F7C7">
      <w:pPr>
        <w:snapToGrid w:val="0"/>
        <w:spacing w:line="360" w:lineRule="auto"/>
        <w:ind w:firstLine="480" w:firstLineChars="200"/>
        <w:jc w:val="left"/>
        <w:rPr>
          <w:color w:val="auto"/>
          <w:sz w:val="24"/>
          <w:highlight w:val="none"/>
        </w:rPr>
      </w:pPr>
      <w:r>
        <w:rPr>
          <w:color w:val="auto"/>
          <w:sz w:val="24"/>
          <w:highlight w:val="none"/>
        </w:rPr>
        <w:t>(三)在采购过程中符合要求的供应商不足3家的。</w:t>
      </w:r>
    </w:p>
    <w:p w14:paraId="69870381">
      <w:pPr>
        <w:snapToGrid w:val="0"/>
        <w:spacing w:line="360" w:lineRule="auto"/>
        <w:ind w:firstLine="482" w:firstLineChars="200"/>
        <w:jc w:val="left"/>
        <w:rPr>
          <w:b/>
          <w:bCs/>
          <w:color w:val="auto"/>
          <w:sz w:val="24"/>
          <w:highlight w:val="none"/>
        </w:rPr>
      </w:pPr>
      <w:r>
        <w:rPr>
          <w:rFonts w:hint="eastAsia"/>
          <w:b/>
          <w:bCs/>
          <w:color w:val="auto"/>
          <w:sz w:val="24"/>
          <w:highlight w:val="none"/>
          <w:lang w:val="en-US" w:eastAsia="zh-CN"/>
        </w:rPr>
        <w:t>七</w:t>
      </w:r>
      <w:r>
        <w:rPr>
          <w:b/>
          <w:bCs/>
          <w:color w:val="auto"/>
          <w:sz w:val="24"/>
          <w:highlight w:val="none"/>
        </w:rPr>
        <w:t>、成交通知</w:t>
      </w:r>
    </w:p>
    <w:p w14:paraId="2D30A52E">
      <w:pPr>
        <w:snapToGrid w:val="0"/>
        <w:spacing w:line="360" w:lineRule="auto"/>
        <w:ind w:firstLine="480" w:firstLineChars="200"/>
        <w:jc w:val="left"/>
        <w:rPr>
          <w:color w:val="auto"/>
          <w:sz w:val="24"/>
          <w:highlight w:val="none"/>
        </w:rPr>
      </w:pPr>
      <w:r>
        <w:rPr>
          <w:color w:val="auto"/>
          <w:sz w:val="24"/>
          <w:highlight w:val="none"/>
        </w:rPr>
        <w:t>成交结果在南通市生态环境局官网公告期限为1个工作日。《成交通知书》一经发出，采购人改变成交结果，或者成交供应商放弃成交的，各自承担相应的法律责任。《成交通知书》是采购合同的组成部分。</w:t>
      </w:r>
    </w:p>
    <w:p w14:paraId="5FBB8C62">
      <w:pPr>
        <w:snapToGrid w:val="0"/>
        <w:spacing w:line="360" w:lineRule="auto"/>
        <w:ind w:firstLine="482" w:firstLineChars="200"/>
        <w:jc w:val="left"/>
        <w:rPr>
          <w:rFonts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八</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rPr>
        <w:t>特殊情况的约定</w:t>
      </w:r>
    </w:p>
    <w:p w14:paraId="53904011">
      <w:pPr>
        <w:spacing w:line="360" w:lineRule="auto"/>
        <w:ind w:firstLine="480"/>
        <w:jc w:val="left"/>
        <w:rPr>
          <w:rFonts w:hint="eastAsia" w:ascii="Times New Roman" w:hAnsi="Times New Roman" w:eastAsia="宋体" w:cs="宋体"/>
          <w:color w:val="auto"/>
          <w:sz w:val="24"/>
          <w:szCs w:val="24"/>
          <w:highlight w:val="none"/>
          <w:lang w:eastAsia="zh-CN"/>
        </w:rPr>
        <w:sectPr>
          <w:headerReference r:id="rId5" w:type="first"/>
          <w:footerReference r:id="rId7" w:type="first"/>
          <w:headerReference r:id="rId4" w:type="default"/>
          <w:footerReference r:id="rId6" w:type="default"/>
          <w:pgSz w:w="11906" w:h="16838"/>
          <w:pgMar w:top="1440" w:right="1133" w:bottom="1440" w:left="1080" w:header="851" w:footer="992" w:gutter="0"/>
          <w:cols w:space="720" w:num="1"/>
          <w:titlePg/>
          <w:docGrid w:linePitch="360" w:charSpace="0"/>
        </w:sectPr>
      </w:pPr>
      <w:r>
        <w:rPr>
          <w:rFonts w:hint="eastAsia" w:ascii="Times New Roman" w:hAnsi="Times New Roman" w:cs="宋体"/>
          <w:color w:val="auto"/>
          <w:sz w:val="24"/>
          <w:szCs w:val="24"/>
          <w:highlight w:val="none"/>
        </w:rPr>
        <w:t>本项目第一成交候选人原则上为成交人。当排名第一的成交候选人放弃成交、因不可抗力不能履行合同，或者被查实存在影响成交结果的违法行为等情形，不符合成交条件的，采购人可以按照磋商小组提出的成交候选人名单排序依次确定其他成交候选人为成交人，也可以重新采购</w:t>
      </w:r>
      <w:r>
        <w:rPr>
          <w:rFonts w:hint="eastAsia" w:ascii="Times New Roman" w:hAnsi="Times New Roman" w:cs="宋体"/>
          <w:color w:val="auto"/>
          <w:sz w:val="24"/>
          <w:szCs w:val="24"/>
          <w:highlight w:val="none"/>
          <w:lang w:eastAsia="zh-CN"/>
        </w:rPr>
        <w:t>。</w:t>
      </w:r>
    </w:p>
    <w:p w14:paraId="1F5E2FCF">
      <w:pPr>
        <w:snapToGrid w:val="0"/>
        <w:spacing w:line="300" w:lineRule="auto"/>
        <w:jc w:val="center"/>
        <w:outlineLvl w:val="0"/>
        <w:rPr>
          <w:b/>
          <w:bCs/>
          <w:color w:val="auto"/>
          <w:sz w:val="36"/>
          <w:szCs w:val="36"/>
          <w:highlight w:val="none"/>
        </w:rPr>
      </w:pPr>
      <w:r>
        <w:rPr>
          <w:rFonts w:hAnsi="宋体"/>
          <w:b/>
          <w:bCs/>
          <w:color w:val="auto"/>
          <w:sz w:val="36"/>
          <w:szCs w:val="36"/>
          <w:highlight w:val="none"/>
        </w:rPr>
        <w:t>第五部分</w:t>
      </w:r>
      <w:r>
        <w:rPr>
          <w:b/>
          <w:bCs/>
          <w:color w:val="auto"/>
          <w:sz w:val="36"/>
          <w:szCs w:val="36"/>
          <w:highlight w:val="none"/>
        </w:rPr>
        <w:t xml:space="preserve">  </w:t>
      </w:r>
      <w:r>
        <w:rPr>
          <w:rFonts w:hAnsi="宋体"/>
          <w:b/>
          <w:bCs/>
          <w:color w:val="auto"/>
          <w:sz w:val="36"/>
          <w:szCs w:val="36"/>
          <w:highlight w:val="none"/>
        </w:rPr>
        <w:t>合同及履约保证</w:t>
      </w:r>
    </w:p>
    <w:p w14:paraId="20718E6A">
      <w:pPr>
        <w:snapToGrid w:val="0"/>
        <w:spacing w:line="360" w:lineRule="auto"/>
        <w:ind w:firstLine="480" w:firstLineChars="200"/>
        <w:jc w:val="left"/>
        <w:rPr>
          <w:color w:val="auto"/>
          <w:sz w:val="24"/>
          <w:highlight w:val="none"/>
        </w:rPr>
      </w:pPr>
      <w:r>
        <w:rPr>
          <w:color w:val="auto"/>
          <w:sz w:val="24"/>
          <w:highlight w:val="none"/>
        </w:rPr>
        <w:t>一、成交供应商和采购单位在接到《成交通知书》后十五日内签订合同。合同签订后成交供应商方可履约，否则引起的一切后果由成交人自行承担。纸质合同一式陆份，采购人、供应商各叁份。所签合同不得对采购文件作实质性修改。采购单位不得向成交供应商提出不合理的要求作为签订合同的条件，不得与成交供应商私下订立背离采购文件实质性内容的协议。</w:t>
      </w:r>
    </w:p>
    <w:p w14:paraId="0171DD24">
      <w:pPr>
        <w:snapToGrid w:val="0"/>
        <w:spacing w:line="360" w:lineRule="auto"/>
        <w:ind w:firstLine="480" w:firstLineChars="200"/>
        <w:jc w:val="left"/>
        <w:rPr>
          <w:color w:val="auto"/>
          <w:sz w:val="24"/>
          <w:highlight w:val="none"/>
        </w:rPr>
      </w:pPr>
      <w:r>
        <w:rPr>
          <w:color w:val="auto"/>
          <w:sz w:val="24"/>
          <w:highlight w:val="none"/>
        </w:rPr>
        <w:t>二、采购人按合同约定积极配合成交供应商履约，成交供应商履约到位后，请以书面形式向采购单位提出验收申请，采购人接到申请后原则上在5个工作日内及时组织相关专业技术人员共同参与验收，并出具验收报告，验收合格的原则上5个工作日内支付相应款项。</w:t>
      </w:r>
    </w:p>
    <w:p w14:paraId="756EDEA1">
      <w:pPr>
        <w:snapToGrid w:val="0"/>
        <w:spacing w:line="360" w:lineRule="auto"/>
        <w:ind w:firstLine="480" w:firstLineChars="200"/>
        <w:jc w:val="left"/>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5F484CF">
      <w:pPr>
        <w:snapToGrid w:val="0"/>
        <w:spacing w:line="360" w:lineRule="auto"/>
        <w:ind w:firstLine="480" w:firstLineChars="200"/>
        <w:jc w:val="left"/>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66587DF2">
      <w:pPr>
        <w:snapToGrid w:val="0"/>
        <w:spacing w:line="360" w:lineRule="auto"/>
        <w:ind w:firstLine="482" w:firstLineChars="200"/>
        <w:jc w:val="left"/>
        <w:rPr>
          <w:b/>
          <w:color w:val="auto"/>
          <w:sz w:val="24"/>
          <w:highlight w:val="none"/>
        </w:rPr>
      </w:pPr>
      <w:r>
        <w:rPr>
          <w:b/>
          <w:color w:val="auto"/>
          <w:sz w:val="24"/>
          <w:highlight w:val="none"/>
        </w:rPr>
        <w:t>五、不响应付款方式的，视同响应文件无效处理。</w:t>
      </w:r>
    </w:p>
    <w:p w14:paraId="088E13FA">
      <w:pPr>
        <w:snapToGrid w:val="0"/>
        <w:spacing w:line="360" w:lineRule="auto"/>
        <w:ind w:firstLine="480" w:firstLineChars="200"/>
        <w:jc w:val="left"/>
        <w:rPr>
          <w:color w:val="auto"/>
          <w:sz w:val="24"/>
          <w:highlight w:val="none"/>
        </w:rPr>
      </w:pPr>
      <w:r>
        <w:rPr>
          <w:color w:val="auto"/>
          <w:sz w:val="24"/>
          <w:highlight w:val="none"/>
        </w:rPr>
        <w:t>款项由采购人按相关财务支付规定办理支付手续。不得故意拖延支付时间。</w:t>
      </w:r>
    </w:p>
    <w:p w14:paraId="2488DA58">
      <w:pPr>
        <w:snapToGrid w:val="0"/>
        <w:spacing w:line="360" w:lineRule="auto"/>
        <w:ind w:firstLine="480" w:firstLineChars="200"/>
        <w:jc w:val="left"/>
        <w:rPr>
          <w:color w:val="auto"/>
          <w:sz w:val="24"/>
          <w:highlight w:val="none"/>
        </w:rPr>
      </w:pPr>
      <w:r>
        <w:rPr>
          <w:color w:val="auto"/>
          <w:sz w:val="24"/>
          <w:highlight w:val="none"/>
        </w:rPr>
        <w:t>每次付款前，成交供应商须按采购人要求提供正式发票。</w:t>
      </w:r>
    </w:p>
    <w:p w14:paraId="7604E45F">
      <w:pPr>
        <w:snapToGrid w:val="0"/>
        <w:spacing w:line="360" w:lineRule="auto"/>
        <w:ind w:firstLine="482" w:firstLineChars="200"/>
        <w:jc w:val="left"/>
        <w:rPr>
          <w:color w:val="auto"/>
          <w:sz w:val="24"/>
          <w:highlight w:val="none"/>
        </w:rPr>
      </w:pPr>
      <w:r>
        <w:rPr>
          <w:rFonts w:hint="eastAsia"/>
          <w:b/>
          <w:color w:val="auto"/>
          <w:sz w:val="24"/>
          <w:highlight w:val="none"/>
          <w:lang w:val="en-US" w:eastAsia="zh-CN"/>
        </w:rPr>
        <w:t>六、合同样本（具体以实际签订合同为准）</w:t>
      </w:r>
      <w:r>
        <w:rPr>
          <w:color w:val="auto"/>
          <w:sz w:val="24"/>
          <w:highlight w:val="none"/>
        </w:rPr>
        <w:br w:type="page"/>
      </w:r>
    </w:p>
    <w:p w14:paraId="58D11E8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8"/>
          <w:highlight w:val="none"/>
        </w:rPr>
      </w:pPr>
      <w:r>
        <w:rPr>
          <w:rFonts w:hint="eastAsia" w:ascii="宋体" w:hAnsi="宋体" w:eastAsia="宋体" w:cs="宋体"/>
          <w:b/>
          <w:bCs/>
          <w:color w:val="auto"/>
          <w:sz w:val="60"/>
          <w:szCs w:val="60"/>
          <w:highlight w:val="none"/>
        </w:rPr>
        <w:t>技术咨询委托合同</w:t>
      </w:r>
    </w:p>
    <w:p w14:paraId="053BB58B">
      <w:pPr>
        <w:spacing w:line="360" w:lineRule="auto"/>
        <w:ind w:firstLine="480" w:firstLineChars="200"/>
        <w:rPr>
          <w:rFonts w:hint="eastAsia" w:ascii="宋体" w:hAnsi="宋体" w:eastAsia="宋体" w:cs="宋体"/>
          <w:color w:val="auto"/>
          <w:sz w:val="24"/>
          <w:highlight w:val="none"/>
        </w:rPr>
      </w:pPr>
    </w:p>
    <w:p w14:paraId="054AFCED">
      <w:pPr>
        <w:spacing w:line="360" w:lineRule="auto"/>
        <w:ind w:firstLine="480" w:firstLineChars="200"/>
        <w:rPr>
          <w:rFonts w:hint="eastAsia" w:ascii="宋体" w:hAnsi="宋体" w:eastAsia="宋体" w:cs="宋体"/>
          <w:color w:val="auto"/>
          <w:sz w:val="24"/>
          <w:highlight w:val="none"/>
        </w:rPr>
      </w:pPr>
    </w:p>
    <w:p w14:paraId="09DC4A9D">
      <w:pPr>
        <w:spacing w:line="360" w:lineRule="auto"/>
        <w:ind w:firstLine="480" w:firstLineChars="200"/>
        <w:rPr>
          <w:rFonts w:hint="eastAsia" w:ascii="宋体" w:hAnsi="宋体" w:eastAsia="宋体" w:cs="宋体"/>
          <w:color w:val="auto"/>
          <w:sz w:val="24"/>
          <w:highlight w:val="none"/>
        </w:rPr>
      </w:pPr>
    </w:p>
    <w:p w14:paraId="2629DBAF">
      <w:pPr>
        <w:spacing w:line="360" w:lineRule="auto"/>
        <w:ind w:firstLine="480" w:firstLineChars="200"/>
        <w:rPr>
          <w:rFonts w:hint="eastAsia" w:ascii="宋体" w:hAnsi="宋体" w:eastAsia="宋体" w:cs="宋体"/>
          <w:color w:val="auto"/>
          <w:sz w:val="24"/>
          <w:highlight w:val="none"/>
        </w:rPr>
      </w:pPr>
    </w:p>
    <w:p w14:paraId="77B521F5">
      <w:pPr>
        <w:spacing w:line="360" w:lineRule="auto"/>
        <w:ind w:firstLine="480" w:firstLineChars="200"/>
        <w:rPr>
          <w:rFonts w:hint="eastAsia" w:ascii="宋体" w:hAnsi="宋体" w:eastAsia="宋体" w:cs="宋体"/>
          <w:color w:val="auto"/>
          <w:sz w:val="24"/>
          <w:highlight w:val="none"/>
        </w:rPr>
      </w:pPr>
    </w:p>
    <w:p w14:paraId="377F74A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委托方（甲方）：</w:t>
      </w:r>
      <w:r>
        <w:rPr>
          <w:rFonts w:hint="eastAsia" w:ascii="宋体" w:hAnsi="宋体" w:eastAsia="宋体" w:cs="宋体"/>
          <w:color w:val="auto"/>
          <w:sz w:val="24"/>
          <w:highlight w:val="none"/>
          <w:u w:val="single"/>
        </w:rPr>
        <w:t xml:space="preserve">       南通市生态环境局                 </w:t>
      </w:r>
    </w:p>
    <w:p w14:paraId="3E423C9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住  所  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20C6AE7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64EC3FB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68FC597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传  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6CF16EF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电子信箱：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4A42BFF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受托方（乙方）：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0BC2F4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住  所  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47180D1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1C0A5A3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771F7A0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29D922E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30434097">
      <w:pPr>
        <w:pStyle w:val="12"/>
        <w:ind w:left="0" w:leftChars="0" w:firstLine="480"/>
        <w:rPr>
          <w:rFonts w:hint="eastAsia" w:ascii="宋体" w:hAnsi="宋体" w:eastAsia="宋体" w:cs="宋体"/>
          <w:color w:val="auto"/>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734B82F9">
      <w:pPr>
        <w:spacing w:line="360" w:lineRule="auto"/>
        <w:ind w:firstLine="480" w:firstLineChars="200"/>
        <w:jc w:val="left"/>
        <w:rPr>
          <w:rFonts w:hint="eastAsia" w:ascii="宋体" w:hAnsi="宋体" w:eastAsia="宋体" w:cs="宋体"/>
          <w:color w:val="auto"/>
          <w:sz w:val="24"/>
          <w:highlight w:val="none"/>
        </w:rPr>
      </w:pPr>
    </w:p>
    <w:p w14:paraId="6311C401">
      <w:pPr>
        <w:widowControl/>
        <w:jc w:val="left"/>
        <w:rPr>
          <w:rFonts w:hint="eastAsia" w:ascii="方正仿宋_GBK" w:hAnsi="方正仿宋_GBK" w:eastAsia="方正仿宋_GBK" w:cs="方正仿宋_GBK"/>
          <w:color w:val="auto"/>
          <w:sz w:val="24"/>
          <w:highlight w:val="none"/>
        </w:rPr>
      </w:pPr>
    </w:p>
    <w:p w14:paraId="2B208AA9">
      <w:pPr>
        <w:spacing w:line="360" w:lineRule="auto"/>
        <w:ind w:firstLine="480" w:firstLineChars="200"/>
        <w:jc w:val="left"/>
        <w:rPr>
          <w:rFonts w:hint="eastAsia" w:ascii="宋体" w:hAnsi="宋体" w:eastAsia="宋体" w:cs="宋体"/>
          <w:color w:val="auto"/>
          <w:sz w:val="24"/>
          <w:highlight w:val="none"/>
        </w:rPr>
      </w:pPr>
      <w:r>
        <w:rPr>
          <w:rFonts w:hint="eastAsia" w:ascii="方正仿宋_GBK" w:hAnsi="方正仿宋_GBK" w:eastAsia="方正仿宋_GBK" w:cs="方正仿宋_GBK"/>
          <w:color w:val="auto"/>
          <w:sz w:val="24"/>
          <w:highlight w:val="none"/>
        </w:rPr>
        <w:br w:type="page"/>
      </w:r>
      <w:r>
        <w:rPr>
          <w:rFonts w:hint="eastAsia" w:ascii="宋体" w:hAnsi="宋体" w:eastAsia="宋体" w:cs="宋体"/>
          <w:color w:val="auto"/>
          <w:sz w:val="24"/>
          <w:highlight w:val="none"/>
        </w:rPr>
        <w:t>本合同甲方委托乙方开展</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eastAsia="zh-CN"/>
        </w:rPr>
        <w:t>环评文件抽查技术复核</w:t>
      </w:r>
      <w:r>
        <w:rPr>
          <w:rFonts w:hint="eastAsia" w:ascii="宋体" w:hAnsi="宋体" w:eastAsia="宋体" w:cs="宋体"/>
          <w:b/>
          <w:bCs/>
          <w:color w:val="auto"/>
          <w:sz w:val="24"/>
          <w:highlight w:val="none"/>
          <w:u w:val="single"/>
        </w:rPr>
        <w:t>及环境影响报告表技术审查项目</w:t>
      </w:r>
      <w:r>
        <w:rPr>
          <w:rFonts w:hint="eastAsia" w:ascii="宋体" w:hAnsi="宋体" w:eastAsia="宋体" w:cs="宋体"/>
          <w:color w:val="auto"/>
          <w:sz w:val="24"/>
          <w:highlight w:val="none"/>
        </w:rPr>
        <w:t>,并支付报酬。经竞争性磋商采购程序，乙方为成交供应商。在真实、充分地表达各自意愿的基础上，根据《中华人民共和国民法典》的规定，达成如下协议，并由双方共同恪守。</w:t>
      </w:r>
    </w:p>
    <w:p w14:paraId="09FC097E">
      <w:pPr>
        <w:pStyle w:val="20"/>
        <w:numPr>
          <w:ilvl w:val="0"/>
          <w:numId w:val="1"/>
        </w:numPr>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乙方进行技术复核及环境影响报告表技术评估服务的方式及要求：</w:t>
      </w:r>
    </w:p>
    <w:p w14:paraId="19DD8A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（一）抽查复核</w:t>
      </w:r>
    </w:p>
    <w:p w14:paraId="1A1BF7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1、遵循客观、公开、公正的原则，受甲方委托，对</w:t>
      </w:r>
      <w:r>
        <w:rPr>
          <w:rFonts w:hint="eastAsia" w:ascii="宋体" w:hAnsi="宋体" w:eastAsia="宋体" w:cs="宋体"/>
          <w:color w:val="auto"/>
          <w:sz w:val="24"/>
          <w:highlight w:val="none"/>
          <w:lang w:val="en-US" w:eastAsia="zh-CN"/>
        </w:rPr>
        <w:t>南通市</w:t>
      </w:r>
      <w:r>
        <w:rPr>
          <w:rFonts w:hint="eastAsia" w:ascii="宋体" w:hAnsi="宋体" w:eastAsia="宋体" w:cs="宋体"/>
          <w:color w:val="auto"/>
          <w:sz w:val="24"/>
          <w:highlight w:val="none"/>
        </w:rPr>
        <w:t>各县(市、区)环评审批部门负责审批的建设项目环境影响评价文件开展技术复核，对全市规划环评开展技术复核，为管理部门对环评单位、评估单位考核，企业监督管理提供技术支撑。</w:t>
      </w:r>
    </w:p>
    <w:p w14:paraId="038BCC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2、根据国家及地方环境保护法律、法规、部门规章以及标准、技术规范的规定和要求开展工作。</w:t>
      </w:r>
    </w:p>
    <w:p w14:paraId="2557E3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3、每季度乙方完成技术复核工作后，向甲方提交《南通市</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年环境影响评价技术复核报告》及会议其他材料。</w:t>
      </w:r>
    </w:p>
    <w:p w14:paraId="51E348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（二）技术评估</w:t>
      </w:r>
    </w:p>
    <w:p w14:paraId="0FE84D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受甲方委托，按照《南通市建设项目环境影响评价技术评估工作规定(试行)》相关要求，对南通市生态环境局审批的环境影响评价文件进行预审，具备条件的组织专家对环境影响评价文件进行评估，出具技术评估意见，并对评估意见负责。评估期间的专家费、差旅费以及专家和乙方人员的会务费等费用原则上由乙方按相关标准支付。</w:t>
      </w:r>
    </w:p>
    <w:p w14:paraId="3C655F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甲方委托后，乙方原则上在环评文件接受委托后3个工作日内邀请专家函审；如需召开技术评审会则需在环评文件接受委托后3个工作日内发出会议通知，5个工作日内完成技术评审会。对建设项目环境影响报告书(表)的技术评估(含环评文件修改时间)应在接受委托后30日(15日)内完成并提交评估意见。环评文件内容相对复杂的，建设单位可以向环评审批部门说明理由并提出书面申请，经同意后可以适当延长技术评估期限，延长时间不得超过10日。如遇特殊情况，甲乙双方另行商定。</w:t>
      </w:r>
    </w:p>
    <w:p w14:paraId="18883C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3、根据《南通市建设项目环境影响评价技术评审专家管理办法(试行)》抽取专家，加强对专家的廉政管理与全流程监督。</w:t>
      </w:r>
    </w:p>
    <w:p w14:paraId="6EE707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根据《南通市建设项目环境影响评价技术评估工作规定(试行)》,评估机构须符合以下条件：(1)为独立的法人单位，具备固定的工作场所、必要的办公条件以及档案资料管理设施、场所；(2)非环境影响评价编制单位；(3)评估机构应具有独立开展技术评估的能力，配备生态环境相关专业(或核与辐射相关专业)高级及以上职称或具有环境影响评价从业经验的专职评估人员(原则上至少一名人员取得环境影响评价工程师职业资格证书),上述人员需全程参与项目评估工作；(4)具有规范的技术评估工作流程和健全的技术评估质量全过程控制制度，形成评估意见编制、审核、审定三级及以上质量控制体系；(5)具有健全的技术评估档案管理体系。</w:t>
      </w:r>
    </w:p>
    <w:p w14:paraId="3F8FAA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南通市建设项目环境影响评价技术评估工作规定(试行)》,乙方机构及其人员须遵守下列规定：(1)不得从事环评文件编制工作；(2)技术评估工作所需费用由委托评估的环评审批部门按合同支付，不得向建设单位、环评单位收取或转嫁任何费用；(3)严格遵守《建设项目环境影响评价行为准则与廉政规定》,制定并严格执行廉政管理规定；不得向建设单位、环评单位承诺技术评估结果；(4)严格按照生态环境保护相关法律、法规、规章、政策、标准、技术规范等开展技术评估工作，遵守本规定中技术评估总体程序、技术评估工作流程等要求。(5)执行“一次性告知”制度，不得反复多次对建设单位和环评单位提出额外的修改意见；(6)按要求做好对建设单位、环评单位的业务指导，不得出现故意刁难服务对象、徇私舞弊、滥用职权等行为。</w:t>
      </w:r>
    </w:p>
    <w:p w14:paraId="5AB318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南通市建设项目环境影响报告书(表)编制质量评分办法(试行)》,对报告书质量及环评机构进行打分考核，与评估意见一并反馈甲方。对存在重大环评质量问题的报告书及相关环评中介机构及时提出处理意见。按季度汇总受委托项目环评机构技术考核成绩并反馈甲方。</w:t>
      </w:r>
    </w:p>
    <w:p w14:paraId="26C0A258">
      <w:pPr>
        <w:spacing w:line="360" w:lineRule="auto"/>
        <w:ind w:firstLine="482" w:firstLineChars="200"/>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rPr>
        <w:t>第二条</w:t>
      </w:r>
      <w:r>
        <w:rPr>
          <w:rFonts w:hint="eastAsia" w:ascii="宋体" w:hAnsi="宋体" w:eastAsia="宋体" w:cs="宋体"/>
          <w:b w:val="0"/>
          <w:bCs w:val="0"/>
          <w:color w:val="auto"/>
          <w:sz w:val="24"/>
          <w:highlight w:val="none"/>
        </w:rPr>
        <w:t>乙方进行技术复核及环境影响报告表技术评估服务工作的质量要求：</w:t>
      </w:r>
    </w:p>
    <w:p w14:paraId="3C34A0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严格遵照《南通市建设项目环境影响评估工作规定(试行)》《南通市建设项目环境影响评价技术评审专家管理办法(试行)》《南通市建设项目环境影响报告书(表)编制质量评分办法(试行)》《南通市建设项目环境影响报告书(表)复核管理规定(试行)》等有关规定。</w:t>
      </w:r>
    </w:p>
    <w:p w14:paraId="540E75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(一)抽查复核</w:t>
      </w:r>
    </w:p>
    <w:p w14:paraId="55D38E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环评文件复核内容：环评文件是否符合国家和地方相关法律法规、环境政策、规划及规划环评等；评价等级、评价范围、评价标准是否正确，重大环境问题、重要环境敏感目标、环境风险因素识别是否全面；工程分析是否体现行业特征，选址选线是否合理；源强分析和污染物核算是否准确，所用技术方法是否正确，影响预测是否科学；提出的环境保护措施及环境风险防范措施是否合理可行；评价结论是否正确；主持编制机构和主持编制人员是否满足相关管理要求。</w:t>
      </w:r>
    </w:p>
    <w:p w14:paraId="4045D4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环评文件评估质量复核内容：技术评估是否符合江苏省建设项目环境影响技术评估工作规程，技术评估是否有重大疏漏，技术评估结论是否合理。具体参考《南通市建设项目环境影响报告书(表)复核管理规定(试行)》。</w:t>
      </w:r>
    </w:p>
    <w:p w14:paraId="02A4DD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3、环评审批规范性复核内容：审批权限是否有误，环评审批意见是否有重</w:t>
      </w:r>
    </w:p>
    <w:p w14:paraId="2D36E28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大疏漏。</w:t>
      </w:r>
    </w:p>
    <w:p w14:paraId="2A9747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(二)技术评估</w:t>
      </w:r>
    </w:p>
    <w:p w14:paraId="36D1E2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1、根据环境保护法律、法规、规章、标准、技术规范等，对环境影响评价文件进行客观、公正的技术评估，为环境保护行政主管部门科学决策提供依据，为建设单位和环评机构提供指导性意见和建议。</w:t>
      </w:r>
    </w:p>
    <w:p w14:paraId="71DC96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2、技术评估过程中组织踏勘现场，如有专家评审会则需全程录像。</w:t>
      </w:r>
    </w:p>
    <w:p w14:paraId="5FC419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3、环境影响技术评估明确评估结论，即报告是否具备报批条件，项目建设是否具有环境可行性，并提出优化调整建议。</w:t>
      </w:r>
    </w:p>
    <w:p w14:paraId="0F5B8F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环评文件技术评估意见包括以下内容：环评文件采用的技术方法与评价标准的正确性，项目建设的环境可行性(环保政策相符性、规划相符性、环境风险、建设项目是否具有环境可行性的总结论)、污染防治措施的可行性、环境影响结论的合理性、《报告表》总体评价、存在问题及说明、审批建议等。</w:t>
      </w:r>
    </w:p>
    <w:p w14:paraId="6DA8A6F1">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w:t>
      </w:r>
      <w:r>
        <w:rPr>
          <w:rFonts w:hint="eastAsia" w:ascii="宋体" w:hAnsi="宋体" w:eastAsia="宋体" w:cs="宋体"/>
          <w:color w:val="auto"/>
          <w:sz w:val="24"/>
          <w:highlight w:val="none"/>
        </w:rPr>
        <w:t>为保证乙方有效组织进行技术复核及环境影响报告表技术评估服务工作，甲方应当向乙方提供下列协作事项：</w:t>
      </w:r>
    </w:p>
    <w:p w14:paraId="07EE3B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南通市生态环境局受理项目后，督促建设单位于2日内将满足技术评估要求的环评文件及相关材料报送至乙方。</w:t>
      </w:r>
    </w:p>
    <w:p w14:paraId="2649EBA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甲方向乙方支付技术服务报酬依据、报酬额度及支付方式为：“本合同总金额为(大写):</w:t>
      </w:r>
      <w:r>
        <w:rPr>
          <w:rFonts w:hint="eastAsia" w:ascii="宋体" w:hAnsi="宋体" w:eastAsia="宋体" w:cs="宋体"/>
          <w:color w:val="auto"/>
          <w:sz w:val="24"/>
          <w:highlight w:val="none"/>
          <w:lang w:val="en-US" w:eastAsia="zh-CN"/>
        </w:rPr>
        <w:t>X</w:t>
      </w:r>
      <w:r>
        <w:rPr>
          <w:rFonts w:hint="eastAsia" w:ascii="宋体" w:hAnsi="宋体" w:eastAsia="宋体" w:cs="宋体"/>
          <w:color w:val="auto"/>
          <w:sz w:val="24"/>
          <w:highlight w:val="none"/>
        </w:rPr>
        <w:t>整人民币，</w:t>
      </w:r>
      <w:r>
        <w:rPr>
          <w:rFonts w:hint="eastAsia" w:ascii="宋体" w:hAnsi="宋体" w:eastAsia="宋体" w:cs="宋体"/>
          <w:color w:val="auto"/>
          <w:sz w:val="24"/>
          <w:highlight w:val="none"/>
          <w:lang w:val="en-US" w:eastAsia="zh-CN"/>
        </w:rPr>
        <w:t>X</w:t>
      </w:r>
      <w:r>
        <w:rPr>
          <w:rFonts w:hint="eastAsia" w:ascii="宋体" w:hAnsi="宋体" w:eastAsia="宋体" w:cs="宋体"/>
          <w:color w:val="auto"/>
          <w:sz w:val="24"/>
          <w:highlight w:val="none"/>
        </w:rPr>
        <w:t>元包含两部分：第一部分</w:t>
      </w:r>
      <w:r>
        <w:rPr>
          <w:rFonts w:hint="eastAsia" w:ascii="宋体" w:hAnsi="宋体" w:eastAsia="宋体" w:cs="宋体"/>
          <w:color w:val="auto"/>
          <w:sz w:val="24"/>
          <w:highlight w:val="none"/>
          <w:lang w:val="en-US" w:eastAsia="zh-CN"/>
        </w:rPr>
        <w:t>X</w:t>
      </w:r>
      <w:r>
        <w:rPr>
          <w:rFonts w:hint="eastAsia" w:ascii="宋体" w:hAnsi="宋体" w:eastAsia="宋体" w:cs="宋体"/>
          <w:color w:val="auto"/>
          <w:sz w:val="24"/>
          <w:highlight w:val="none"/>
        </w:rPr>
        <w:t>元，共</w:t>
      </w:r>
      <w:r>
        <w:rPr>
          <w:rFonts w:hint="eastAsia" w:ascii="宋体" w:hAnsi="宋体" w:eastAsia="宋体" w:cs="宋体"/>
          <w:color w:val="auto"/>
          <w:sz w:val="24"/>
          <w:highlight w:val="none"/>
          <w:lang w:val="en-US" w:eastAsia="zh-CN"/>
        </w:rPr>
        <w:t>X</w:t>
      </w:r>
      <w:r>
        <w:rPr>
          <w:rFonts w:hint="eastAsia" w:ascii="宋体" w:hAnsi="宋体" w:eastAsia="宋体" w:cs="宋体"/>
          <w:color w:val="auto"/>
          <w:sz w:val="24"/>
          <w:highlight w:val="none"/>
        </w:rPr>
        <w:t>本。第二部分¥</w:t>
      </w:r>
      <w:r>
        <w:rPr>
          <w:rFonts w:hint="eastAsia" w:ascii="宋体" w:hAnsi="宋体" w:eastAsia="宋体" w:cs="宋体"/>
          <w:color w:val="auto"/>
          <w:sz w:val="24"/>
          <w:highlight w:val="none"/>
          <w:lang w:val="en-US" w:eastAsia="zh-CN"/>
        </w:rPr>
        <w:t>X</w:t>
      </w:r>
      <w:r>
        <w:rPr>
          <w:rFonts w:hint="eastAsia" w:ascii="宋体" w:hAnsi="宋体" w:eastAsia="宋体" w:cs="宋体"/>
          <w:color w:val="auto"/>
          <w:sz w:val="24"/>
          <w:highlight w:val="none"/>
        </w:rPr>
        <w:t>元，为环评报告表的技术评估</w:t>
      </w:r>
      <w:r>
        <w:rPr>
          <w:rFonts w:hint="eastAsia" w:ascii="宋体" w:hAnsi="宋体" w:eastAsia="宋体" w:cs="宋体"/>
          <w:color w:val="auto"/>
          <w:sz w:val="24"/>
          <w:highlight w:val="none"/>
          <w:lang w:val="en-US" w:eastAsia="zh-CN"/>
        </w:rPr>
        <w:t>X</w:t>
      </w:r>
      <w:r>
        <w:rPr>
          <w:rFonts w:hint="eastAsia" w:ascii="宋体" w:hAnsi="宋体" w:eastAsia="宋体" w:cs="宋体"/>
          <w:color w:val="auto"/>
          <w:sz w:val="24"/>
          <w:highlight w:val="none"/>
        </w:rPr>
        <w:t>万元/本(共</w:t>
      </w:r>
      <w:r>
        <w:rPr>
          <w:rFonts w:hint="eastAsia" w:ascii="宋体" w:hAnsi="宋体" w:eastAsia="宋体" w:cs="宋体"/>
          <w:color w:val="auto"/>
          <w:sz w:val="24"/>
          <w:highlight w:val="none"/>
          <w:lang w:val="en-US" w:eastAsia="zh-CN"/>
        </w:rPr>
        <w:t>X</w:t>
      </w:r>
      <w:r>
        <w:rPr>
          <w:rFonts w:hint="eastAsia" w:ascii="宋体" w:hAnsi="宋体" w:eastAsia="宋体" w:cs="宋体"/>
          <w:color w:val="auto"/>
          <w:sz w:val="24"/>
          <w:highlight w:val="none"/>
        </w:rPr>
        <w:t>本),采用固定单价，最终按实际发生数量结算。</w:t>
      </w:r>
    </w:p>
    <w:p w14:paraId="33F8A661">
      <w:pPr>
        <w:spacing w:line="360" w:lineRule="auto"/>
        <w:ind w:firstLine="480" w:firstLineChars="200"/>
        <w:rPr>
          <w:rFonts w:hint="eastAsia" w:ascii="宋体" w:hAnsi="宋体" w:eastAsia="宋体" w:cs="宋体"/>
          <w:color w:val="auto"/>
          <w:sz w:val="24"/>
          <w:highlight w:val="none"/>
        </w:rPr>
      </w:pPr>
      <w:r>
        <w:rPr>
          <w:rFonts w:hint="eastAsia" w:hAnsi="宋体"/>
          <w:color w:val="auto"/>
          <w:sz w:val="24"/>
          <w:highlight w:val="none"/>
          <w:lang w:val="en-US" w:eastAsia="zh-CN"/>
        </w:rPr>
        <w:t>自合同签订之日起，采购人在一个月内向成交供应商支付总合同额的30%作为预付款；2026年12底前、合同期结束前分别根据实际发生量结算一次（扣除预付款后支付应付款项，如第一次实际结算费用不足以扣除预付款的，延期至下一次）</w:t>
      </w:r>
      <w:r>
        <w:rPr>
          <w:rFonts w:hint="eastAsia" w:ascii="宋体" w:hAnsi="宋体" w:eastAsia="宋体" w:cs="宋体"/>
          <w:color w:val="auto"/>
          <w:sz w:val="24"/>
          <w:highlight w:val="none"/>
        </w:rPr>
        <w:t>。</w:t>
      </w:r>
    </w:p>
    <w:p w14:paraId="2911F7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具体支付方式如下：</w:t>
      </w:r>
    </w:p>
    <w:p w14:paraId="3C34FF2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乙方开户银行名称、地址和账号为：</w:t>
      </w:r>
      <w:r>
        <w:rPr>
          <w:rFonts w:hint="eastAsia" w:ascii="宋体" w:hAnsi="宋体" w:eastAsia="宋体" w:cs="宋体"/>
          <w:color w:val="auto"/>
          <w:sz w:val="24"/>
          <w:highlight w:val="none"/>
          <w:lang w:val="en-US" w:eastAsia="zh-CN"/>
        </w:rPr>
        <w:t>X</w:t>
      </w:r>
    </w:p>
    <w:p w14:paraId="73BF3C1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开户名：</w:t>
      </w:r>
      <w:r>
        <w:rPr>
          <w:rFonts w:hint="eastAsia" w:ascii="宋体" w:hAnsi="宋体" w:eastAsia="宋体" w:cs="宋体"/>
          <w:color w:val="auto"/>
          <w:sz w:val="24"/>
          <w:highlight w:val="none"/>
          <w:lang w:val="en-US" w:eastAsia="zh-CN"/>
        </w:rPr>
        <w:t>X</w:t>
      </w:r>
    </w:p>
    <w:p w14:paraId="252458F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val="en-US" w:eastAsia="zh-CN"/>
        </w:rPr>
        <w:t>X</w:t>
      </w:r>
    </w:p>
    <w:p w14:paraId="1F9BC67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lang w:val="en-US" w:eastAsia="zh-CN"/>
        </w:rPr>
        <w:t>X</w:t>
      </w:r>
    </w:p>
    <w:p w14:paraId="14F3AFA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地址和电话：</w:t>
      </w:r>
      <w:r>
        <w:rPr>
          <w:rFonts w:hint="eastAsia" w:ascii="宋体" w:hAnsi="宋体" w:eastAsia="宋体" w:cs="宋体"/>
          <w:color w:val="auto"/>
          <w:sz w:val="24"/>
          <w:highlight w:val="none"/>
          <w:lang w:val="en-US" w:eastAsia="zh-CN"/>
        </w:rPr>
        <w:t>X</w:t>
      </w:r>
    </w:p>
    <w:p w14:paraId="23A9B71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纳税人识别号：</w:t>
      </w:r>
      <w:r>
        <w:rPr>
          <w:rFonts w:hint="eastAsia" w:ascii="宋体" w:hAnsi="宋体" w:eastAsia="宋体" w:cs="宋体"/>
          <w:color w:val="auto"/>
          <w:sz w:val="24"/>
          <w:highlight w:val="none"/>
          <w:lang w:val="en-US" w:eastAsia="zh-CN"/>
        </w:rPr>
        <w:t>X</w:t>
      </w:r>
    </w:p>
    <w:p w14:paraId="1C2A8D1E">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color w:val="auto"/>
          <w:sz w:val="24"/>
          <w:highlight w:val="none"/>
        </w:rPr>
        <w:t>双方确定，在本合同有效期内，甲方指定徐顾丹为甲方联系人，乙方指定</w:t>
      </w:r>
      <w:r>
        <w:rPr>
          <w:rFonts w:hint="eastAsia" w:ascii="宋体" w:hAnsi="宋体" w:cs="宋体"/>
          <w:color w:val="auto"/>
          <w:sz w:val="24"/>
          <w:highlight w:val="none"/>
          <w:lang w:eastAsia="zh-CN"/>
        </w:rPr>
        <w:t>X</w:t>
      </w:r>
      <w:r>
        <w:rPr>
          <w:rFonts w:hint="eastAsia" w:ascii="宋体" w:hAnsi="宋体" w:eastAsia="宋体" w:cs="宋体"/>
          <w:color w:val="auto"/>
          <w:sz w:val="24"/>
          <w:highlight w:val="none"/>
        </w:rPr>
        <w:t>为乙方联系人。一方变更项目联系人的，应当及时以书面形式通知另一方。未及时通知并影响本合同履行或造成损失的，应承担相应的责任。</w:t>
      </w:r>
    </w:p>
    <w:p w14:paraId="06C0926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w:t>
      </w:r>
      <w:r>
        <w:rPr>
          <w:rFonts w:hint="eastAsia" w:ascii="宋体" w:hAnsi="宋体" w:eastAsia="宋体" w:cs="宋体"/>
          <w:color w:val="auto"/>
          <w:sz w:val="24"/>
          <w:highlight w:val="none"/>
        </w:rPr>
        <w:t>双方确定，出现不可抗力的情形，经以下程序后，认为本合同的履行成为不必要或不可能的，可以解除本合同。</w:t>
      </w:r>
    </w:p>
    <w:p w14:paraId="49ED54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1、在合同有效期内，任何一方因不可抗力事件导致不能履行合同，则合同</w:t>
      </w:r>
    </w:p>
    <w:p w14:paraId="7BD7049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履行期可延长，其延长期与不可抗力影响期相同。</w:t>
      </w:r>
    </w:p>
    <w:p w14:paraId="6E48FC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2、不可抗力事件发生后，应立即通知对方，并寄送有关权威机构出具的证明。</w:t>
      </w:r>
    </w:p>
    <w:p w14:paraId="09EF6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3、不可抗力事件延续120天以上，双方应通过友好协商，确定是否继续履行合同。</w:t>
      </w:r>
    </w:p>
    <w:p w14:paraId="7D884AD3">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违约金或者赔偿损失的方式：如双方未履行本合同项下约定义务的，需承担合同总价款10%的违约金，违约金不足以弥补守约方损失的，仍需补足损失(包括但不限于守约方为主张权利所支出的诉讼费、律师费、保全费、鉴定费、差旅费等)。</w:t>
      </w:r>
    </w:p>
    <w:p w14:paraId="560B077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肆</w:t>
      </w:r>
      <w:r>
        <w:rPr>
          <w:rFonts w:hint="eastAsia" w:ascii="宋体" w:hAnsi="宋体" w:eastAsia="宋体" w:cs="宋体"/>
          <w:color w:val="auto"/>
          <w:sz w:val="24"/>
          <w:highlight w:val="none"/>
        </w:rPr>
        <w:t>份，双方各执</w:t>
      </w:r>
      <w:r>
        <w:rPr>
          <w:rFonts w:hint="eastAsia" w:ascii="宋体" w:hAnsi="宋体" w:eastAsia="宋体" w:cs="宋体"/>
          <w:color w:val="auto"/>
          <w:sz w:val="24"/>
          <w:highlight w:val="none"/>
          <w:u w:val="single"/>
        </w:rPr>
        <w:t>贰</w:t>
      </w:r>
      <w:r>
        <w:rPr>
          <w:rFonts w:hint="eastAsia" w:ascii="宋体" w:hAnsi="宋体" w:eastAsia="宋体" w:cs="宋体"/>
          <w:color w:val="auto"/>
          <w:sz w:val="24"/>
          <w:highlight w:val="none"/>
        </w:rPr>
        <w:t>份，具有同等法律效力。</w:t>
      </w:r>
    </w:p>
    <w:p w14:paraId="6562A9C6">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第九条</w:t>
      </w:r>
      <w:r>
        <w:rPr>
          <w:rFonts w:hint="eastAsia" w:ascii="宋体" w:hAnsi="宋体" w:eastAsia="宋体" w:cs="宋体"/>
          <w:color w:val="auto"/>
          <w:sz w:val="24"/>
          <w:highlight w:val="none"/>
        </w:rPr>
        <w:t>本合同经双方签字盖章后生效。</w:t>
      </w:r>
    </w:p>
    <w:p w14:paraId="2120B2F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color w:val="auto"/>
          <w:sz w:val="24"/>
          <w:highlight w:val="none"/>
        </w:rPr>
        <w:t>本合同未尽事宜双方应友好协商解决；如协商不成，可向甲方所在地人民法院起诉解决。</w:t>
      </w:r>
    </w:p>
    <w:p w14:paraId="30C39737">
      <w:pPr>
        <w:spacing w:line="360" w:lineRule="auto"/>
        <w:ind w:right="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南通市生态环境局</w:t>
      </w:r>
      <w:r>
        <w:rPr>
          <w:rFonts w:hint="eastAsia" w:ascii="宋体" w:hAnsi="宋体" w:eastAsia="宋体" w:cs="宋体"/>
          <w:color w:val="auto"/>
          <w:sz w:val="24"/>
          <w:highlight w:val="none"/>
        </w:rPr>
        <w:t xml:space="preserve">(盖章)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(盖章) </w:t>
      </w:r>
    </w:p>
    <w:p w14:paraId="5038D36B">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法定代表人或委托代理人：        法定代表人或委托代理人：       </w:t>
      </w:r>
    </w:p>
    <w:p w14:paraId="0462DE5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xml:space="preserve">(签名)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(签名)     </w:t>
      </w:r>
    </w:p>
    <w:p w14:paraId="1D42188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                      年   月   日</w:t>
      </w:r>
    </w:p>
    <w:p w14:paraId="581B9536">
      <w:pPr>
        <w:snapToGrid w:val="0"/>
        <w:spacing w:line="360" w:lineRule="auto"/>
        <w:ind w:firstLine="480" w:firstLineChars="200"/>
        <w:jc w:val="left"/>
        <w:rPr>
          <w:rFonts w:hint="eastAsia" w:ascii="宋体" w:hAnsi="宋体" w:eastAsia="宋体" w:cs="宋体"/>
          <w:color w:val="auto"/>
          <w:sz w:val="24"/>
          <w:highlight w:val="none"/>
        </w:rPr>
      </w:pPr>
    </w:p>
    <w:p w14:paraId="19962436">
      <w:pPr>
        <w:pStyle w:val="12"/>
        <w:ind w:firstLine="420"/>
        <w:rPr>
          <w:color w:val="auto"/>
          <w:highlight w:val="none"/>
        </w:rPr>
      </w:pPr>
    </w:p>
    <w:p w14:paraId="598F9A0C">
      <w:pPr>
        <w:snapToGrid w:val="0"/>
        <w:spacing w:line="300" w:lineRule="auto"/>
        <w:jc w:val="center"/>
        <w:outlineLvl w:val="0"/>
        <w:rPr>
          <w:b/>
          <w:color w:val="auto"/>
          <w:sz w:val="36"/>
          <w:szCs w:val="36"/>
          <w:highlight w:val="none"/>
        </w:rPr>
      </w:pPr>
      <w:r>
        <w:rPr>
          <w:b/>
          <w:color w:val="auto"/>
          <w:sz w:val="36"/>
          <w:szCs w:val="36"/>
          <w:highlight w:val="none"/>
        </w:rPr>
        <w:br w:type="page"/>
      </w:r>
      <w:r>
        <w:rPr>
          <w:rFonts w:hAnsi="宋体"/>
          <w:b/>
          <w:color w:val="auto"/>
          <w:sz w:val="36"/>
          <w:szCs w:val="36"/>
          <w:highlight w:val="none"/>
        </w:rPr>
        <w:t>第六部分</w:t>
      </w:r>
      <w:r>
        <w:rPr>
          <w:b/>
          <w:color w:val="auto"/>
          <w:sz w:val="36"/>
          <w:szCs w:val="36"/>
          <w:highlight w:val="none"/>
        </w:rPr>
        <w:t xml:space="preserve">  </w:t>
      </w:r>
      <w:r>
        <w:rPr>
          <w:rFonts w:hAnsi="宋体"/>
          <w:b/>
          <w:color w:val="auto"/>
          <w:sz w:val="36"/>
          <w:szCs w:val="36"/>
          <w:highlight w:val="none"/>
        </w:rPr>
        <w:t>质疑提出和处理</w:t>
      </w:r>
    </w:p>
    <w:p w14:paraId="127D9193">
      <w:pPr>
        <w:autoSpaceDE w:val="0"/>
        <w:autoSpaceDN w:val="0"/>
        <w:adjustRightInd w:val="0"/>
        <w:snapToGrid w:val="0"/>
        <w:spacing w:line="360" w:lineRule="auto"/>
        <w:ind w:firstLine="482" w:firstLineChars="200"/>
        <w:contextualSpacing/>
        <w:jc w:val="left"/>
        <w:rPr>
          <w:b/>
          <w:color w:val="auto"/>
          <w:kern w:val="0"/>
          <w:sz w:val="24"/>
          <w:highlight w:val="none"/>
        </w:rPr>
      </w:pPr>
      <w:r>
        <w:rPr>
          <w:b/>
          <w:color w:val="auto"/>
          <w:kern w:val="0"/>
          <w:sz w:val="24"/>
          <w:highlight w:val="none"/>
        </w:rPr>
        <w:t>一、质疑的提出</w:t>
      </w:r>
    </w:p>
    <w:p w14:paraId="491BC71B">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 xml:space="preserve">(一)质疑人的身份要求 </w:t>
      </w:r>
    </w:p>
    <w:p w14:paraId="3C6AA938">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1.质疑人必须是直接参加本次采购活动的当事人。</w:t>
      </w:r>
    </w:p>
    <w:p w14:paraId="3A049FB5">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2.未参加投标活动的供应商或在投标活动中自身权益未受到损害的供应商所提出的质疑不予受理。</w:t>
      </w:r>
    </w:p>
    <w:p w14:paraId="393DAECC">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(二)质疑提出的格式要求</w:t>
      </w:r>
    </w:p>
    <w:p w14:paraId="73B9908A">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086C96F3">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2.质疑函应包括：</w:t>
      </w:r>
    </w:p>
    <w:p w14:paraId="535C2A56">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（1）质疑投标供应商的名称、地址、邮编、联系人及联系电话；</w:t>
      </w:r>
    </w:p>
    <w:p w14:paraId="4A3F2AE5">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（2）具体、明确的质疑事项及明确的请求；</w:t>
      </w:r>
    </w:p>
    <w:p w14:paraId="4199EB99">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（3）质疑的事实依据和必要的法律依据；</w:t>
      </w:r>
    </w:p>
    <w:p w14:paraId="42A1984E">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（4）提起质疑的日期；</w:t>
      </w:r>
    </w:p>
    <w:p w14:paraId="428604F4">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（5）认为自己合法权益受到损害或可能受到损害的相关证据材料；</w:t>
      </w:r>
    </w:p>
    <w:p w14:paraId="7D500C2F">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524D0C15">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3.质疑函需遵循的原则：</w:t>
      </w:r>
    </w:p>
    <w:p w14:paraId="7586CCB5">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34AA490C">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（三）质疑提出的时效要求</w:t>
      </w:r>
    </w:p>
    <w:p w14:paraId="7ED36B05">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14:paraId="33901181">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（1）对可以质疑的采购文件提出质疑的，为收到采购文件之日或者采购文件公告期限届满之日；</w:t>
      </w:r>
    </w:p>
    <w:p w14:paraId="7E75C2C2">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（2）对采购过程提出质疑的，为各采购程序环节结束之日；</w:t>
      </w:r>
    </w:p>
    <w:p w14:paraId="0B87A9F2">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（3）对中标或者成交结果提出质疑的，为中标或者成交结果公告期限届满之日。</w:t>
      </w:r>
    </w:p>
    <w:p w14:paraId="22168851">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投标供应商认为采购文件使自己的权益受到损害的，可以向采购人提出质疑；投标供应商认为采购过程和采购结果使自己的权益受到损害的，可以以书面形式向采购人或代理机构提出质疑。</w:t>
      </w:r>
    </w:p>
    <w:p w14:paraId="2D738FD7">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2.投标供应商应在法定质疑期一次性提出针对同一采购程序环节的质疑。</w:t>
      </w:r>
    </w:p>
    <w:p w14:paraId="473C45AF">
      <w:pPr>
        <w:autoSpaceDE w:val="0"/>
        <w:autoSpaceDN w:val="0"/>
        <w:adjustRightInd w:val="0"/>
        <w:snapToGrid w:val="0"/>
        <w:spacing w:line="360" w:lineRule="auto"/>
        <w:ind w:firstLine="482" w:firstLineChars="200"/>
        <w:contextualSpacing/>
        <w:jc w:val="left"/>
        <w:rPr>
          <w:b/>
          <w:color w:val="auto"/>
          <w:sz w:val="24"/>
          <w:highlight w:val="none"/>
        </w:rPr>
      </w:pPr>
      <w:r>
        <w:rPr>
          <w:b/>
          <w:color w:val="auto"/>
          <w:sz w:val="24"/>
          <w:highlight w:val="none"/>
        </w:rPr>
        <w:t>二、《质疑函》的受理和回复</w:t>
      </w:r>
    </w:p>
    <w:p w14:paraId="52671034">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1.收到质疑函后，采购人将对质疑的形式和内容进行审查，如质疑函内容、格式不符合规定，采购人将告知质疑人进行补正。</w:t>
      </w:r>
    </w:p>
    <w:p w14:paraId="25BF08E9">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 质疑人应当在法定质疑期限内进行补正并重新提交质疑函，拒不补正或者在法定期限内未重新提交质疑函的，为无效质疑，采购人将不予受理。</w:t>
      </w:r>
    </w:p>
    <w:p w14:paraId="5F55566D">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3.采购人或采购代理机构答复供应商质疑应当采用书面方式并依法送达，质疑供应商或其委托代理人拒绝签收的视为已经送达。</w:t>
      </w:r>
    </w:p>
    <w:p w14:paraId="58C6CB2A">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三、质疑处理</w:t>
      </w:r>
    </w:p>
    <w:p w14:paraId="354A603C">
      <w:pPr>
        <w:autoSpaceDE w:val="0"/>
        <w:autoSpaceDN w:val="0"/>
        <w:adjustRightInd w:val="0"/>
        <w:snapToGrid w:val="0"/>
        <w:spacing w:line="360" w:lineRule="auto"/>
        <w:ind w:firstLine="482" w:firstLineChars="200"/>
        <w:contextualSpacing/>
        <w:jc w:val="left"/>
        <w:rPr>
          <w:b/>
          <w:color w:val="auto"/>
          <w:sz w:val="24"/>
          <w:highlight w:val="none"/>
        </w:rPr>
      </w:pPr>
      <w:r>
        <w:rPr>
          <w:b/>
          <w:color w:val="auto"/>
          <w:sz w:val="24"/>
          <w:highlight w:val="none"/>
        </w:rPr>
        <w:t>1、质疑成立的处理。</w:t>
      </w:r>
    </w:p>
    <w:p w14:paraId="34BD8964">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（1）对于内容、格式符合规定的质疑函，采购人在收到投标供应商的书面质疑后七个工作日内作出书面答复，但答复的内容不得涉及商业秘密。</w:t>
      </w:r>
    </w:p>
    <w:p w14:paraId="1F3B4726">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6A9FA0FD">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（3）对采购过程、中标或者成交结果提出的质疑，合格供应商符合法定数量时，可以从合格的中标候选人中另行确定中标、成交供应商，或重新开展采购活动。</w:t>
      </w:r>
    </w:p>
    <w:p w14:paraId="0C18BBFC">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质疑答复导致中标、成交结果改变的，采购人或者采购代理机构应当将有关情况书面报告本级财政部门。</w:t>
      </w:r>
    </w:p>
    <w:p w14:paraId="19E22153">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2、质疑不成立的处理。</w:t>
      </w:r>
    </w:p>
    <w:p w14:paraId="0FF80A16">
      <w:pPr>
        <w:snapToGrid w:val="0"/>
        <w:spacing w:line="360" w:lineRule="auto"/>
        <w:ind w:firstLine="480" w:firstLineChars="200"/>
        <w:contextualSpacing/>
        <w:jc w:val="left"/>
        <w:rPr>
          <w:color w:val="auto"/>
          <w:sz w:val="24"/>
          <w:highlight w:val="none"/>
        </w:rPr>
      </w:pPr>
      <w:r>
        <w:rPr>
          <w:color w:val="auto"/>
          <w:kern w:val="0"/>
          <w:sz w:val="24"/>
          <w:highlight w:val="none"/>
          <w:lang w:val="zh-CN"/>
        </w:rPr>
        <w:t>（1）</w:t>
      </w:r>
      <w:r>
        <w:rPr>
          <w:color w:val="auto"/>
          <w:sz w:val="24"/>
          <w:highlight w:val="none"/>
        </w:rPr>
        <w:t>若质疑不成立，或者成立未对中标、成交结果构成影响的，继续开展采购活动。</w:t>
      </w:r>
    </w:p>
    <w:p w14:paraId="75E37B50">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14:paraId="4332476A">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（3）质疑人承担使用虚假材料或恶意方式质疑的法律责任。</w:t>
      </w:r>
    </w:p>
    <w:p w14:paraId="0A6DF996">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3、虚假质疑的处理</w:t>
      </w:r>
    </w:p>
    <w:p w14:paraId="7EB1B823">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投标供应商提出书面质疑必须有理、有据，不得恶意质疑或提交虚假质疑。否则，一经查实，将依据政府采购的有关规定，报请政府采购监管部门对该投标供应商进行相应的行政处罚。</w:t>
      </w:r>
    </w:p>
    <w:p w14:paraId="7050C06E">
      <w:pPr>
        <w:snapToGrid w:val="0"/>
        <w:spacing w:line="300" w:lineRule="auto"/>
        <w:jc w:val="center"/>
        <w:outlineLvl w:val="9"/>
        <w:rPr>
          <w:b/>
          <w:color w:val="auto"/>
          <w:sz w:val="36"/>
          <w:szCs w:val="36"/>
          <w:highlight w:val="none"/>
        </w:rPr>
      </w:pPr>
    </w:p>
    <w:p w14:paraId="22F926E2">
      <w:pPr>
        <w:pStyle w:val="2"/>
        <w:spacing w:before="120" w:beforeLines="50" w:after="120" w:afterLines="50" w:line="360" w:lineRule="auto"/>
        <w:jc w:val="center"/>
        <w:rPr>
          <w:rFonts w:hint="eastAsia" w:ascii="宋体" w:hAnsi="宋体" w:cs="宋体"/>
          <w:color w:val="auto"/>
          <w:sz w:val="36"/>
          <w:szCs w:val="36"/>
          <w:highlight w:val="none"/>
        </w:rPr>
      </w:pPr>
      <w:r>
        <w:rPr>
          <w:b w:val="0"/>
          <w:color w:val="auto"/>
          <w:sz w:val="36"/>
          <w:szCs w:val="36"/>
          <w:highlight w:val="none"/>
        </w:rPr>
        <w:br w:type="page"/>
      </w:r>
      <w:r>
        <w:rPr>
          <w:rFonts w:hint="eastAsia" w:ascii="宋体" w:hAnsi="宋体" w:cs="宋体"/>
          <w:color w:val="auto"/>
          <w:sz w:val="36"/>
          <w:szCs w:val="36"/>
          <w:highlight w:val="none"/>
        </w:rPr>
        <w:t>第七部分 响应文件组成</w:t>
      </w:r>
    </w:p>
    <w:p w14:paraId="6C98FB5E">
      <w:pPr>
        <w:widowControl/>
        <w:shd w:val="clear" w:color="auto" w:fill="FFFFFF"/>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响应文件由资格审查证明材料、商务技术响应文件、价格响应文件</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电子投标文件四部分组</w:t>
      </w:r>
      <w:r>
        <w:rPr>
          <w:rFonts w:hint="eastAsia" w:ascii="宋体" w:hAnsi="宋体" w:eastAsia="宋体" w:cs="宋体"/>
          <w:b/>
          <w:color w:val="auto"/>
          <w:sz w:val="24"/>
          <w:szCs w:val="24"/>
          <w:highlight w:val="none"/>
          <w:lang w:val="en-US" w:eastAsia="zh-CN"/>
        </w:rPr>
        <w:t>成</w:t>
      </w:r>
      <w:r>
        <w:rPr>
          <w:rFonts w:hint="eastAsia" w:ascii="宋体" w:hAnsi="宋体" w:eastAsia="宋体" w:cs="宋体"/>
          <w:b/>
          <w:color w:val="auto"/>
          <w:sz w:val="24"/>
          <w:szCs w:val="24"/>
          <w:highlight w:val="none"/>
        </w:rPr>
        <w:t>。</w:t>
      </w:r>
    </w:p>
    <w:p w14:paraId="041A26F8">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一、资格审查证明材料（一正两副，单独密封并牢固装订）：</w:t>
      </w:r>
    </w:p>
    <w:p w14:paraId="52BA0462">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1.关于资格的声明函；（附件1）</w:t>
      </w:r>
    </w:p>
    <w:p w14:paraId="4143648F">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参加投标的,须提供法定代表人身份证明书原件及本人身份证复印件（附件2）；非法定代表人参加投标的，必须提供法定代表人签字或盖章的授权委托书及法定代表人、被授权人两人身份证的复印件；（附件3）</w:t>
      </w:r>
    </w:p>
    <w:p w14:paraId="2EA5258E">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3.法人或者其他组织的营业执照或事业单位法人证书；</w:t>
      </w:r>
    </w:p>
    <w:p w14:paraId="651F4D72">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4.供应商符合《政府采购法》第二十二条规定条件的声明函；（附件4）</w:t>
      </w:r>
    </w:p>
    <w:p w14:paraId="0A93935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5.参与本次项目政府采购活动前三年内，在经营活动中没有重大违法记录的书面《无重大违法记录声明函》；（附件5）</w:t>
      </w:r>
    </w:p>
    <w:p w14:paraId="0D28C73A">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color w:val="auto"/>
          <w:sz w:val="24"/>
          <w:highlight w:val="none"/>
          <w:lang w:val="en-US" w:eastAsia="zh-CN"/>
        </w:rPr>
        <w:t>从事环境影响评价（含建设项目环评、规划环评）编制的单位和2025年-2026年期间从事南通市各县（市、区）环评报告技术评估工作的单位不得参与本项目投标。（提供承诺函，格式自拟）</w:t>
      </w:r>
    </w:p>
    <w:p w14:paraId="7E8C6C84">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.其它需要提交的资格审查证明材料。</w:t>
      </w:r>
    </w:p>
    <w:p w14:paraId="262440A2">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二、商务技术响应文件（不能出现报价；一正两副，单独密封并牢固装订）：</w:t>
      </w:r>
    </w:p>
    <w:p w14:paraId="57F0A91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1.竞争性磋商响应函（附件6）；</w:t>
      </w:r>
    </w:p>
    <w:p w14:paraId="0F02B533">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2.磋商供应商情况一览表（附件7）；</w:t>
      </w:r>
    </w:p>
    <w:p w14:paraId="15B93816">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3.商务部分正负偏离表（附件8）；</w:t>
      </w:r>
    </w:p>
    <w:p w14:paraId="184DCAD5">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4.技术部分正负偏离表（附件8）；</w:t>
      </w:r>
    </w:p>
    <w:p w14:paraId="1DF4C4D6">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填制正负偏离表，完全响应的，请以空白表列示。不完全响应的，必须在偏离表中列示；列示不全的，视同故意隐瞒。</w:t>
      </w:r>
    </w:p>
    <w:p w14:paraId="66FDFFE0">
      <w:pPr>
        <w:keepNext w:val="0"/>
        <w:keepLines w:val="0"/>
        <w:pageBreakBefore w:val="0"/>
        <w:widowControl/>
        <w:numPr>
          <w:ilvl w:val="0"/>
          <w:numId w:val="2"/>
        </w:numPr>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响应方案；</w:t>
      </w:r>
    </w:p>
    <w:p w14:paraId="17365324">
      <w:pPr>
        <w:keepNext w:val="0"/>
        <w:keepLines w:val="0"/>
        <w:pageBreakBefore w:val="0"/>
        <w:widowControl/>
        <w:numPr>
          <w:ilvl w:val="0"/>
          <w:numId w:val="2"/>
        </w:numPr>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商务技术部分评标办法中要求提供的全部资料，为方便评委评审，请供应商按评审办法中所涉及的事项顺序进行编制，可以补充相关材料；</w:t>
      </w:r>
    </w:p>
    <w:p w14:paraId="547EB4AB">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7.评审办法中未涉及的事项，供应商认为需要提交的其他资料。</w:t>
      </w:r>
    </w:p>
    <w:p w14:paraId="4438D29E">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三、价格响应文件，一正两副（单独密封并牢固装订），不得出现在商务技术响应文件部分：</w:t>
      </w:r>
    </w:p>
    <w:p w14:paraId="0CE52DD8">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1.报价总表（附件9）；</w:t>
      </w:r>
    </w:p>
    <w:p w14:paraId="443F4FB5">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2.报价明细表（</w:t>
      </w:r>
      <w:r>
        <w:rPr>
          <w:rFonts w:hint="eastAsia" w:ascii="宋体" w:hAnsi="宋体" w:cs="宋体"/>
          <w:color w:val="auto"/>
          <w:sz w:val="24"/>
          <w:szCs w:val="24"/>
          <w:highlight w:val="none"/>
          <w:lang w:val="en-US" w:eastAsia="zh-CN"/>
        </w:rPr>
        <w:t>如有，</w:t>
      </w:r>
      <w:r>
        <w:rPr>
          <w:rFonts w:hint="eastAsia" w:ascii="宋体" w:hAnsi="宋体" w:eastAsia="宋体" w:cs="宋体"/>
          <w:color w:val="auto"/>
          <w:sz w:val="24"/>
          <w:szCs w:val="24"/>
          <w:highlight w:val="none"/>
        </w:rPr>
        <w:t>格式自拟）；</w:t>
      </w:r>
    </w:p>
    <w:p w14:paraId="539EB627">
      <w:pPr>
        <w:keepNext w:val="0"/>
        <w:keepLines w:val="0"/>
        <w:pageBreakBefore w:val="0"/>
        <w:widowControl/>
        <w:shd w:val="clear" w:color="auto" w:fill="FFFFFF"/>
        <w:kinsoku/>
        <w:wordWrap/>
        <w:topLinePunct w:val="0"/>
        <w:autoSpaceDE/>
        <w:autoSpaceDN/>
        <w:bidi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3.价格扣除优惠材料（中小企业申明函</w:t>
      </w: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10</w:t>
      </w:r>
      <w:bookmarkStart w:id="29" w:name="_GoBack"/>
      <w:bookmarkEnd w:id="29"/>
      <w:r>
        <w:rPr>
          <w:rFonts w:hint="eastAsia" w:ascii="宋体" w:hAnsi="宋体" w:cs="宋体"/>
          <w:color w:val="auto"/>
          <w:sz w:val="24"/>
          <w:szCs w:val="24"/>
          <w:highlight w:val="none"/>
          <w:lang w:val="en-US" w:eastAsia="zh-CN"/>
        </w:rPr>
        <w:t>）</w:t>
      </w:r>
    </w:p>
    <w:p w14:paraId="5B27345E">
      <w:pPr>
        <w:keepNext w:val="0"/>
        <w:keepLines w:val="0"/>
        <w:pageBreakBefore w:val="0"/>
        <w:widowControl/>
        <w:shd w:val="clear" w:color="auto" w:fill="FFFFFF"/>
        <w:kinsoku/>
        <w:wordWrap/>
        <w:topLinePunct w:val="0"/>
        <w:autoSpaceDE/>
        <w:autoSpaceDN/>
        <w:bidi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四、电子投标文件</w:t>
      </w:r>
    </w:p>
    <w:p w14:paraId="6820D855">
      <w:pPr>
        <w:keepNext w:val="0"/>
        <w:keepLines w:val="0"/>
        <w:pageBreakBefore w:val="0"/>
        <w:widowControl/>
        <w:kinsoku/>
        <w:wordWrap/>
        <w:topLinePunct w:val="0"/>
        <w:autoSpaceDE/>
        <w:autoSpaceDN/>
        <w:bidi w:val="0"/>
        <w:spacing w:line="360" w:lineRule="auto"/>
        <w:jc w:val="left"/>
        <w:rPr>
          <w:rFonts w:hint="eastAsia" w:ascii="宋体" w:hAnsi="宋体" w:eastAsia="宋体" w:cs="宋体"/>
          <w:color w:val="auto"/>
          <w:sz w:val="24"/>
          <w:szCs w:val="24"/>
          <w:highlight w:val="none"/>
        </w:rPr>
      </w:pPr>
    </w:p>
    <w:p w14:paraId="034D8289">
      <w:pPr>
        <w:keepNext w:val="0"/>
        <w:keepLines w:val="0"/>
        <w:pageBreakBefore w:val="0"/>
        <w:widowControl/>
        <w:shd w:val="clear" w:color="auto" w:fill="FFFFFF"/>
        <w:kinsoku/>
        <w:wordWrap/>
        <w:topLinePunct w:val="0"/>
        <w:autoSpaceDE/>
        <w:autoSpaceDN/>
        <w:bidi w:val="0"/>
        <w:spacing w:line="360" w:lineRule="auto"/>
        <w:jc w:val="left"/>
        <w:outlineLvl w:val="1"/>
        <w:rPr>
          <w:rFonts w:hint="eastAsia" w:ascii="宋体" w:hAnsi="宋体" w:eastAsia="宋体" w:cs="宋体"/>
          <w:b/>
          <w:color w:val="auto"/>
          <w:sz w:val="24"/>
          <w:szCs w:val="24"/>
          <w:highlight w:val="none"/>
        </w:rPr>
      </w:pPr>
      <w:bookmarkStart w:id="13" w:name="_Toc44750623"/>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附件1：关于资格的声明函</w:t>
      </w:r>
      <w:bookmarkEnd w:id="13"/>
    </w:p>
    <w:p w14:paraId="62CCB722">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南通市生态环境局：</w:t>
      </w:r>
    </w:p>
    <w:p w14:paraId="731876E3">
      <w:pPr>
        <w:keepNext w:val="0"/>
        <w:keepLines w:val="0"/>
        <w:pageBreakBefore w:val="0"/>
        <w:kinsoku/>
        <w:wordWrap/>
        <w:overflowPunct w:val="0"/>
        <w:topLinePunct w:val="0"/>
        <w:autoSpaceDE/>
        <w:autoSpaceDN/>
        <w:bidi w:val="0"/>
        <w:adjustRightIn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本公司愿就由贵单位组织实施的</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（招标项目名称及项目编号）的招标活动进行投标。本公司所提交的投标文件中所有关于投标资格的文件、证明和陈述均是真实的、准确的。若与真实情况不符，本公司愿意承担由此而产生的一切后果。</w:t>
      </w:r>
    </w:p>
    <w:p w14:paraId="1801F0FB">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color w:val="auto"/>
          <w:sz w:val="24"/>
          <w:szCs w:val="24"/>
          <w:highlight w:val="none"/>
        </w:rPr>
      </w:pPr>
    </w:p>
    <w:p w14:paraId="71217F26">
      <w:pPr>
        <w:keepNext w:val="0"/>
        <w:keepLines w:val="0"/>
        <w:pageBreakBefore w:val="0"/>
        <w:widowControl/>
        <w:kinsoku/>
        <w:wordWrap/>
        <w:topLinePunct w:val="0"/>
        <w:autoSpaceDE/>
        <w:autoSpaceDN/>
        <w:bidi w:val="0"/>
        <w:spacing w:line="360" w:lineRule="auto"/>
        <w:jc w:val="right"/>
        <w:rPr>
          <w:rFonts w:hint="eastAsia" w:ascii="宋体" w:hAnsi="宋体" w:eastAsia="宋体" w:cs="宋体"/>
          <w:color w:val="auto"/>
          <w:sz w:val="24"/>
          <w:szCs w:val="24"/>
          <w:highlight w:val="none"/>
        </w:rPr>
      </w:pPr>
    </w:p>
    <w:p w14:paraId="58193807">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供应商名称（公章）： </w:t>
      </w:r>
    </w:p>
    <w:p w14:paraId="7A941588">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法定代表人或其委托代理人（签字或加盖人名章）：</w:t>
      </w:r>
    </w:p>
    <w:p w14:paraId="18730B89">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4AC76277">
      <w:pPr>
        <w:keepNext w:val="0"/>
        <w:keepLines w:val="0"/>
        <w:pageBreakBefore w:val="0"/>
        <w:widowControl/>
        <w:kinsoku/>
        <w:wordWrap/>
        <w:topLinePunct w:val="0"/>
        <w:autoSpaceDE/>
        <w:autoSpaceDN/>
        <w:bidi w:val="0"/>
        <w:spacing w:line="360" w:lineRule="auto"/>
        <w:rPr>
          <w:rFonts w:hint="eastAsia" w:ascii="宋体" w:hAnsi="宋体" w:eastAsia="宋体" w:cs="宋体"/>
          <w:color w:val="auto"/>
          <w:sz w:val="24"/>
          <w:szCs w:val="24"/>
          <w:highlight w:val="none"/>
        </w:rPr>
      </w:pPr>
    </w:p>
    <w:p w14:paraId="4774F7FE">
      <w:pPr>
        <w:keepNext w:val="0"/>
        <w:keepLines w:val="0"/>
        <w:pageBreakBefore w:val="0"/>
        <w:widowControl/>
        <w:shd w:val="clear" w:color="auto" w:fill="FFFFFF"/>
        <w:kinsoku/>
        <w:wordWrap/>
        <w:topLinePunct w:val="0"/>
        <w:autoSpaceDE/>
        <w:autoSpaceDN/>
        <w:bidi w:val="0"/>
        <w:spacing w:line="360" w:lineRule="auto"/>
        <w:jc w:val="left"/>
        <w:outlineLvl w:val="1"/>
        <w:rPr>
          <w:rFonts w:hint="eastAsia" w:ascii="宋体" w:hAnsi="宋体" w:eastAsia="宋体" w:cs="宋体"/>
          <w:b/>
          <w:color w:val="auto"/>
          <w:sz w:val="24"/>
          <w:szCs w:val="24"/>
          <w:highlight w:val="none"/>
        </w:rPr>
      </w:pPr>
      <w:bookmarkStart w:id="14" w:name="_Toc44750624"/>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附件2：法定代表人身份证明书</w:t>
      </w:r>
      <w:bookmarkEnd w:id="14"/>
    </w:p>
    <w:p w14:paraId="3488C138">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color w:val="auto"/>
          <w:sz w:val="24"/>
          <w:szCs w:val="24"/>
          <w:highlight w:val="none"/>
        </w:rPr>
      </w:pPr>
    </w:p>
    <w:p w14:paraId="68DCBA03">
      <w:pPr>
        <w:keepNext w:val="0"/>
        <w:keepLines w:val="0"/>
        <w:pageBreakBefore w:val="0"/>
        <w:kinsoku/>
        <w:wordWrap/>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先生／女士：现任我单位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14:paraId="12BDB00B">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36F7F16">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p>
    <w:p w14:paraId="6498FA04">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供应商全称（公章）：</w:t>
      </w:r>
    </w:p>
    <w:p w14:paraId="24F5A974">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14:paraId="323C8B1C">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响应日期：     年     月    日</w:t>
      </w:r>
    </w:p>
    <w:p w14:paraId="692AE329">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p>
    <w:p w14:paraId="0F603557">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注：提供法定代表人的身份证复印件盖公章</w:t>
      </w:r>
    </w:p>
    <w:p w14:paraId="1287CFC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p>
    <w:p w14:paraId="6C295D0F">
      <w:pPr>
        <w:keepNext w:val="0"/>
        <w:keepLines w:val="0"/>
        <w:pageBreakBefore w:val="0"/>
        <w:widowControl/>
        <w:kinsoku/>
        <w:wordWrap/>
        <w:topLinePunct w:val="0"/>
        <w:autoSpaceDE/>
        <w:autoSpaceDN/>
        <w:bidi w:val="0"/>
        <w:spacing w:line="360" w:lineRule="auto"/>
        <w:jc w:val="left"/>
        <w:rPr>
          <w:rFonts w:hint="eastAsia"/>
          <w:color w:val="auto"/>
          <w:highlight w:val="none"/>
        </w:rPr>
      </w:pPr>
      <w:r>
        <w:rPr>
          <w:rFonts w:hint="eastAsia" w:ascii="宋体" w:hAnsi="宋体" w:eastAsia="宋体" w:cs="宋体"/>
          <w:color w:val="auto"/>
          <w:sz w:val="24"/>
          <w:szCs w:val="24"/>
          <w:highlight w:val="none"/>
        </w:rPr>
        <w:br w:type="page"/>
      </w:r>
      <w:bookmarkStart w:id="15" w:name="_Toc44750625"/>
      <w:r>
        <w:rPr>
          <w:rFonts w:hint="eastAsia" w:ascii="宋体" w:hAnsi="宋体" w:eastAsia="宋体" w:cs="宋体"/>
          <w:b/>
          <w:color w:val="auto"/>
          <w:sz w:val="24"/>
          <w:szCs w:val="24"/>
          <w:highlight w:val="none"/>
        </w:rPr>
        <w:t>附件3：法定代表人授权委托书</w:t>
      </w:r>
      <w:bookmarkEnd w:id="15"/>
    </w:p>
    <w:p w14:paraId="09601B05">
      <w:pPr>
        <w:keepNext w:val="0"/>
        <w:keepLines w:val="0"/>
        <w:pageBreakBefore w:val="0"/>
        <w:widowControl/>
        <w:shd w:val="clear" w:color="auto" w:fill="FFFFFF"/>
        <w:kinsoku/>
        <w:wordWrap/>
        <w:topLinePunct w:val="0"/>
        <w:autoSpaceDE/>
        <w:autoSpaceDN/>
        <w:bidi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南通市生态环境局：</w:t>
      </w:r>
    </w:p>
    <w:p w14:paraId="5C599122">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为我公司代理人，以本公司的名义参加本项目的响应活动。代理人在开标、评审、合同谈判过程中所签署的一切文件和处理与之有关的一切事务，我均予以承认。</w:t>
      </w:r>
    </w:p>
    <w:p w14:paraId="3DDF98E8">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被委托授权人无转委权。特此委托。</w:t>
      </w:r>
    </w:p>
    <w:p w14:paraId="12DA399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被委托授权人身份证号：</w:t>
      </w:r>
    </w:p>
    <w:p w14:paraId="08B930D2">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被委托授权人签字：</w:t>
      </w:r>
    </w:p>
    <w:p w14:paraId="4B059BC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p w14:paraId="731CD72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供应商全称（公章）：</w:t>
      </w:r>
    </w:p>
    <w:p w14:paraId="7D19B672">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14:paraId="1244F640">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响应日期：     年     月    日</w:t>
      </w:r>
    </w:p>
    <w:p w14:paraId="1F4C71E0">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法定代表人身份证复印件（正反面）</w:t>
      </w:r>
    </w:p>
    <w:p w14:paraId="76E044B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p w14:paraId="65EADAC2">
      <w:pPr>
        <w:keepNext w:val="0"/>
        <w:keepLines w:val="0"/>
        <w:pageBreakBefore w:val="0"/>
        <w:kinsoku/>
        <w:wordWrap/>
        <w:topLinePunct w:val="0"/>
        <w:autoSpaceDE/>
        <w:autoSpaceDN/>
        <w:bidi w:val="0"/>
        <w:spacing w:line="360" w:lineRule="auto"/>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（粘贴此处）</w:t>
      </w:r>
    </w:p>
    <w:p w14:paraId="2B303CB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p w14:paraId="32387ACD">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p w14:paraId="61BCDDE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被授权人身份证复印件（正反面）</w:t>
      </w:r>
    </w:p>
    <w:p w14:paraId="6AEA9ED9">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p w14:paraId="6AE87D7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p w14:paraId="3271FA6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616437C">
      <w:pPr>
        <w:keepNext w:val="0"/>
        <w:keepLines w:val="0"/>
        <w:pageBreakBefore w:val="0"/>
        <w:kinsoku/>
        <w:wordWrap/>
        <w:topLinePunct w:val="0"/>
        <w:autoSpaceDE/>
        <w:autoSpaceDN/>
        <w:bidi w:val="0"/>
        <w:spacing w:line="360" w:lineRule="auto"/>
        <w:ind w:firstLine="2280" w:firstLineChars="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（粘贴此处）</w:t>
      </w:r>
    </w:p>
    <w:p w14:paraId="1EE08709">
      <w:pPr>
        <w:keepNext w:val="0"/>
        <w:keepLines w:val="0"/>
        <w:pageBreakBefore w:val="0"/>
        <w:kinsoku/>
        <w:wordWrap/>
        <w:topLinePunct w:val="0"/>
        <w:autoSpaceDE/>
        <w:autoSpaceDN/>
        <w:bidi w:val="0"/>
        <w:spacing w:line="360" w:lineRule="auto"/>
        <w:ind w:firstLine="2289" w:firstLineChars="950"/>
        <w:rPr>
          <w:rFonts w:hint="eastAsia" w:ascii="宋体" w:hAnsi="宋体" w:eastAsia="宋体" w:cs="宋体"/>
          <w:b/>
          <w:bCs/>
          <w:color w:val="auto"/>
          <w:sz w:val="24"/>
          <w:szCs w:val="24"/>
          <w:highlight w:val="none"/>
        </w:rPr>
      </w:pPr>
    </w:p>
    <w:p w14:paraId="1D038C7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 如为被授权人参加竞磋时，须将身份证原件带至磋商现场备查。</w:t>
      </w:r>
    </w:p>
    <w:p w14:paraId="3E2EF32B">
      <w:pPr>
        <w:keepNext w:val="0"/>
        <w:keepLines w:val="0"/>
        <w:pageBreakBefore w:val="0"/>
        <w:kinsoku/>
        <w:wordWrap/>
        <w:topLinePunct w:val="0"/>
        <w:autoSpaceDE/>
        <w:autoSpaceDN/>
        <w:bidi w:val="0"/>
        <w:spacing w:line="360" w:lineRule="auto"/>
        <w:rPr>
          <w:rFonts w:hint="eastAsia" w:ascii="宋体" w:hAnsi="宋体" w:eastAsia="宋体" w:cs="宋体"/>
          <w:b/>
          <w:color w:val="auto"/>
          <w:sz w:val="24"/>
          <w:szCs w:val="24"/>
          <w:highlight w:val="none"/>
        </w:rPr>
      </w:pPr>
    </w:p>
    <w:p w14:paraId="59DC0E6F">
      <w:pPr>
        <w:pStyle w:val="17"/>
        <w:keepNext w:val="0"/>
        <w:keepLines w:val="0"/>
        <w:pageBreakBefore w:val="0"/>
        <w:kinsoku/>
        <w:wordWrap/>
        <w:topLinePunct w:val="0"/>
        <w:autoSpaceDE/>
        <w:autoSpaceDN/>
        <w:bidi w:val="0"/>
        <w:spacing w:line="360" w:lineRule="auto"/>
        <w:rPr>
          <w:rFonts w:hint="eastAsia" w:ascii="宋体" w:hAnsi="宋体" w:eastAsia="宋体" w:cs="宋体"/>
          <w:b/>
          <w:color w:val="auto"/>
          <w:sz w:val="24"/>
          <w:szCs w:val="24"/>
          <w:highlight w:val="none"/>
        </w:rPr>
      </w:pPr>
      <w:bookmarkStart w:id="16" w:name="_Toc14366"/>
      <w:bookmarkStart w:id="17" w:name="_Toc27325"/>
      <w:bookmarkStart w:id="18" w:name="_Toc24176"/>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附件4：</w:t>
      </w:r>
      <w:bookmarkEnd w:id="16"/>
      <w:bookmarkEnd w:id="17"/>
      <w:bookmarkEnd w:id="18"/>
      <w:r>
        <w:rPr>
          <w:rFonts w:hint="eastAsia" w:ascii="宋体" w:hAnsi="宋体" w:eastAsia="宋体" w:cs="宋体"/>
          <w:b/>
          <w:color w:val="auto"/>
          <w:sz w:val="24"/>
          <w:szCs w:val="24"/>
          <w:highlight w:val="none"/>
        </w:rPr>
        <w:t>投标人符合《政府采购法》第二十二条规定条件的声明函</w:t>
      </w:r>
    </w:p>
    <w:p w14:paraId="59D2EB1D">
      <w:pPr>
        <w:keepNext w:val="0"/>
        <w:keepLines w:val="0"/>
        <w:pageBreakBefore w:val="0"/>
        <w:kinsoku/>
        <w:wordWrap/>
        <w:topLinePunct w:val="0"/>
        <w:autoSpaceDE/>
        <w:autoSpaceDN/>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E61303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我单位参加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（项目编号）投标活动。针对《中华人民共和国政府采购法》第二十二条规定做出如下声明：</w:t>
      </w:r>
    </w:p>
    <w:p w14:paraId="2B201DF1">
      <w:pPr>
        <w:keepNext w:val="0"/>
        <w:keepLines w:val="0"/>
        <w:pageBreakBefore w:val="0"/>
        <w:kinsoku/>
        <w:wordWrap/>
        <w:topLinePunct w:val="0"/>
        <w:autoSpaceDE/>
        <w:autoSpaceDN/>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1.我单位具有独立承担民事责任的能力；</w:t>
      </w:r>
    </w:p>
    <w:p w14:paraId="7A58331E">
      <w:pPr>
        <w:keepNext w:val="0"/>
        <w:keepLines w:val="0"/>
        <w:pageBreakBefore w:val="0"/>
        <w:kinsoku/>
        <w:wordWrap/>
        <w:topLinePunct w:val="0"/>
        <w:autoSpaceDE/>
        <w:autoSpaceDN/>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2.我单位具有良好的商业信誉和健全的财务会计制度；</w:t>
      </w:r>
    </w:p>
    <w:p w14:paraId="4B0CA104">
      <w:pPr>
        <w:keepNext w:val="0"/>
        <w:keepLines w:val="0"/>
        <w:pageBreakBefore w:val="0"/>
        <w:kinsoku/>
        <w:wordWrap/>
        <w:topLinePunct w:val="0"/>
        <w:autoSpaceDE/>
        <w:autoSpaceDN/>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3.我单位具有履行合同所必需的设备和专业技术能力；</w:t>
      </w:r>
    </w:p>
    <w:p w14:paraId="73FD83B0">
      <w:pPr>
        <w:keepNext w:val="0"/>
        <w:keepLines w:val="0"/>
        <w:pageBreakBefore w:val="0"/>
        <w:kinsoku/>
        <w:wordWrap/>
        <w:topLinePunct w:val="0"/>
        <w:autoSpaceDE/>
        <w:autoSpaceDN/>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4.我单位有依法缴纳税收和社会保障资金的良好记录；</w:t>
      </w:r>
    </w:p>
    <w:p w14:paraId="6BAE9536">
      <w:pPr>
        <w:keepNext w:val="0"/>
        <w:keepLines w:val="0"/>
        <w:pageBreakBefore w:val="0"/>
        <w:kinsoku/>
        <w:wordWrap/>
        <w:topLinePunct w:val="0"/>
        <w:autoSpaceDE/>
        <w:autoSpaceDN/>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8967A49">
      <w:pPr>
        <w:keepNext w:val="0"/>
        <w:keepLines w:val="0"/>
        <w:pageBreakBefore w:val="0"/>
        <w:kinsoku/>
        <w:wordWrap/>
        <w:topLinePunct w:val="0"/>
        <w:autoSpaceDE/>
        <w:autoSpaceDN/>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6.我单位满足法律、行政法规规定的其他条件。</w:t>
      </w:r>
    </w:p>
    <w:p w14:paraId="76EE81C2">
      <w:pPr>
        <w:keepNext w:val="0"/>
        <w:keepLines w:val="0"/>
        <w:pageBreakBefore w:val="0"/>
        <w:kinsoku/>
        <w:wordWrap/>
        <w:topLinePunct w:val="0"/>
        <w:autoSpaceDE/>
        <w:autoSpaceDN/>
        <w:bidi w:val="0"/>
        <w:spacing w:line="360" w:lineRule="auto"/>
        <w:ind w:firstLine="482"/>
        <w:rPr>
          <w:rFonts w:hint="eastAsia" w:ascii="宋体" w:hAnsi="宋体" w:eastAsia="宋体" w:cs="宋体"/>
          <w:color w:val="auto"/>
          <w:sz w:val="24"/>
          <w:szCs w:val="24"/>
          <w:highlight w:val="none"/>
        </w:rPr>
      </w:pPr>
    </w:p>
    <w:p w14:paraId="255BDC4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p w14:paraId="757C01BD">
      <w:pPr>
        <w:keepNext w:val="0"/>
        <w:keepLines w:val="0"/>
        <w:pageBreakBefore w:val="0"/>
        <w:kinsoku/>
        <w:wordWrap/>
        <w:topLinePunct w:val="0"/>
        <w:autoSpaceDE/>
        <w:autoSpaceDN/>
        <w:bidi w:val="0"/>
        <w:spacing w:line="360" w:lineRule="auto"/>
        <w:rPr>
          <w:rFonts w:hint="eastAsia" w:ascii="宋体" w:hAnsi="宋体" w:eastAsia="宋体" w:cs="宋体"/>
          <w:bCs/>
          <w:color w:val="auto"/>
          <w:sz w:val="24"/>
          <w:szCs w:val="24"/>
          <w:highlight w:val="none"/>
        </w:rPr>
      </w:pPr>
    </w:p>
    <w:p w14:paraId="34CCEC3D">
      <w:pPr>
        <w:keepNext w:val="0"/>
        <w:keepLines w:val="0"/>
        <w:pageBreakBefore w:val="0"/>
        <w:kinsoku/>
        <w:wordWrap/>
        <w:topLinePunct w:val="0"/>
        <w:autoSpaceDE/>
        <w:autoSpaceDN/>
        <w:bidi w:val="0"/>
        <w:spacing w:line="360" w:lineRule="auto"/>
        <w:rPr>
          <w:rFonts w:hint="eastAsia" w:ascii="宋体" w:hAnsi="宋体" w:eastAsia="宋体" w:cs="宋体"/>
          <w:bCs/>
          <w:color w:val="auto"/>
          <w:sz w:val="24"/>
          <w:szCs w:val="24"/>
          <w:highlight w:val="none"/>
        </w:rPr>
      </w:pPr>
    </w:p>
    <w:p w14:paraId="2A363A1D">
      <w:pPr>
        <w:keepNext w:val="0"/>
        <w:keepLines w:val="0"/>
        <w:pageBreakBefore w:val="0"/>
        <w:kinsoku/>
        <w:wordWrap/>
        <w:topLinePunct w:val="0"/>
        <w:autoSpaceDE/>
        <w:autoSpaceDN/>
        <w:bidi w:val="0"/>
        <w:spacing w:line="360" w:lineRule="auto"/>
        <w:rPr>
          <w:rFonts w:hint="eastAsia" w:ascii="宋体" w:hAnsi="宋体" w:eastAsia="宋体" w:cs="宋体"/>
          <w:bCs/>
          <w:color w:val="auto"/>
          <w:sz w:val="24"/>
          <w:szCs w:val="24"/>
          <w:highlight w:val="none"/>
        </w:rPr>
      </w:pPr>
    </w:p>
    <w:p w14:paraId="4A3866DB">
      <w:pPr>
        <w:keepNext w:val="0"/>
        <w:keepLines w:val="0"/>
        <w:pageBreakBefore w:val="0"/>
        <w:kinsoku/>
        <w:wordWrap/>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承诺人名称（公章）：</w:t>
      </w:r>
    </w:p>
    <w:p w14:paraId="07888BCB">
      <w:pPr>
        <w:keepNext w:val="0"/>
        <w:keepLines w:val="0"/>
        <w:pageBreakBefore w:val="0"/>
        <w:kinsoku/>
        <w:wordWrap/>
        <w:topLinePunct w:val="0"/>
        <w:autoSpaceDE/>
        <w:autoSpaceDN/>
        <w:bidi w:val="0"/>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31AF8D11">
      <w:pPr>
        <w:keepNext w:val="0"/>
        <w:keepLines w:val="0"/>
        <w:pageBreakBefore w:val="0"/>
        <w:kinsoku/>
        <w:wordWrap/>
        <w:topLinePunct w:val="0"/>
        <w:autoSpaceDE/>
        <w:autoSpaceDN/>
        <w:bidi w:val="0"/>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日期：______年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6EC72776">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p w14:paraId="49FD9DE5">
      <w:pPr>
        <w:keepNext w:val="0"/>
        <w:keepLines w:val="0"/>
        <w:pageBreakBefore w:val="0"/>
        <w:kinsoku/>
        <w:wordWrap/>
        <w:topLinePunct w:val="0"/>
        <w:autoSpaceDE/>
        <w:autoSpaceDN/>
        <w:bidi w:val="0"/>
        <w:spacing w:line="360" w:lineRule="auto"/>
        <w:rPr>
          <w:rFonts w:hint="eastAsia" w:ascii="宋体" w:hAnsi="宋体" w:eastAsia="宋体" w:cs="宋体"/>
          <w:b/>
          <w:color w:val="auto"/>
          <w:sz w:val="24"/>
          <w:szCs w:val="24"/>
          <w:highlight w:val="none"/>
        </w:rPr>
      </w:pPr>
    </w:p>
    <w:p w14:paraId="4C05A08A">
      <w:pPr>
        <w:keepNext w:val="0"/>
        <w:keepLines w:val="0"/>
        <w:pageBreakBefore w:val="0"/>
        <w:kinsoku/>
        <w:wordWrap/>
        <w:topLinePunct w:val="0"/>
        <w:autoSpaceDE/>
        <w:autoSpaceDN/>
        <w:bidi w:val="0"/>
        <w:spacing w:line="360" w:lineRule="auto"/>
        <w:rPr>
          <w:rFonts w:hint="eastAsia" w:ascii="宋体" w:hAnsi="宋体" w:eastAsia="宋体" w:cs="宋体"/>
          <w:b/>
          <w:color w:val="auto"/>
          <w:sz w:val="24"/>
          <w:szCs w:val="24"/>
          <w:highlight w:val="none"/>
        </w:rPr>
      </w:pPr>
      <w:bookmarkStart w:id="19" w:name="_Toc2139"/>
      <w:bookmarkStart w:id="20" w:name="_Toc12562"/>
      <w:bookmarkStart w:id="21" w:name="_Toc4170"/>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附件5：： 供应商参加政府采购活动前3年内在经营活动中没有重大违法记录的书面声明（格式）</w:t>
      </w:r>
      <w:bookmarkEnd w:id="19"/>
      <w:bookmarkEnd w:id="20"/>
      <w:bookmarkEnd w:id="21"/>
    </w:p>
    <w:p w14:paraId="79E6D3A2">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p>
    <w:p w14:paraId="41620981">
      <w:pPr>
        <w:keepNext w:val="0"/>
        <w:keepLines w:val="0"/>
        <w:pageBreakBefore w:val="0"/>
        <w:kinsoku/>
        <w:wordWrap/>
        <w:topLinePunct w:val="0"/>
        <w:autoSpaceDE/>
        <w:autoSpaceDN/>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声明函</w:t>
      </w:r>
    </w:p>
    <w:p w14:paraId="59D8CDAA">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p>
    <w:p w14:paraId="1C6D12D0">
      <w:pPr>
        <w:keepNext w:val="0"/>
        <w:keepLines w:val="0"/>
        <w:pageBreakBefore w:val="0"/>
        <w:tabs>
          <w:tab w:val="left" w:pos="5580"/>
        </w:tabs>
        <w:kinsoku/>
        <w:wordWrap/>
        <w:topLinePunct w:val="0"/>
        <w:autoSpaceDE/>
        <w:autoSpaceDN/>
        <w:bidi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南通市生态环境局 </w:t>
      </w:r>
    </w:p>
    <w:p w14:paraId="31F90D72">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color w:val="auto"/>
          <w:sz w:val="24"/>
          <w:szCs w:val="24"/>
          <w:highlight w:val="none"/>
        </w:rPr>
      </w:pPr>
    </w:p>
    <w:p w14:paraId="5A4D0467">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项目响应文件截止时间前，我公司郑重承诺在参加本项目政府采购活动前三年内，在经营活动中无重大违法记录。公司未受到刑事处罚或责令停业、吊销许可证（或执照）、较大数额罚款等行政处罚；未处于财产被接管、冻结、破产状况。</w:t>
      </w:r>
    </w:p>
    <w:p w14:paraId="6655E3ED">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如发现我单位提供的声明函不实时，我单位将按照《政府采购法》有关提供虚假材料的规定，接受处罚。</w:t>
      </w:r>
    </w:p>
    <w:p w14:paraId="11F77FC7">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7C4F990">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color w:val="auto"/>
          <w:sz w:val="24"/>
          <w:szCs w:val="24"/>
          <w:highlight w:val="none"/>
        </w:rPr>
      </w:pPr>
    </w:p>
    <w:p w14:paraId="19625409">
      <w:pPr>
        <w:keepNext w:val="0"/>
        <w:keepLines w:val="0"/>
        <w:pageBreakBefore w:val="0"/>
        <w:tabs>
          <w:tab w:val="left" w:pos="5580"/>
        </w:tabs>
        <w:kinsoku/>
        <w:wordWrap/>
        <w:topLinePunct w:val="0"/>
        <w:autoSpaceDE/>
        <w:autoSpaceDN/>
        <w:bidi w:val="0"/>
        <w:spacing w:before="120" w:line="360" w:lineRule="auto"/>
        <w:ind w:firstLine="480" w:firstLineChars="200"/>
        <w:rPr>
          <w:rFonts w:hint="eastAsia" w:ascii="宋体" w:hAnsi="宋体" w:eastAsia="宋体" w:cs="宋体"/>
          <w:color w:val="auto"/>
          <w:sz w:val="24"/>
          <w:szCs w:val="24"/>
          <w:highlight w:val="none"/>
        </w:rPr>
      </w:pPr>
    </w:p>
    <w:p w14:paraId="5F909E33">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供应商名称（公章）： </w:t>
      </w:r>
    </w:p>
    <w:p w14:paraId="2D926ECD">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法定代表人或其委托代理人（签字或加盖人名章）：</w:t>
      </w:r>
    </w:p>
    <w:p w14:paraId="5F63AB1B">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sectPr>
          <w:headerReference r:id="rId8" w:type="default"/>
          <w:footerReference r:id="rId9" w:type="default"/>
          <w:pgSz w:w="11906" w:h="16838"/>
          <w:pgMar w:top="1191" w:right="1247" w:bottom="1247" w:left="1701" w:header="851" w:footer="992" w:gutter="0"/>
          <w:cols w:space="720" w:num="1"/>
          <w:docGrid w:linePitch="312" w:charSpace="0"/>
        </w:sectPr>
      </w:pPr>
      <w:r>
        <w:rPr>
          <w:rFonts w:hint="eastAsia" w:ascii="宋体" w:hAnsi="宋体" w:eastAsia="宋体" w:cs="宋体"/>
          <w:color w:val="auto"/>
          <w:sz w:val="24"/>
          <w:szCs w:val="24"/>
          <w:highlight w:val="none"/>
        </w:rPr>
        <w:t>日    期：     年   月    日</w:t>
      </w:r>
    </w:p>
    <w:p w14:paraId="11178541">
      <w:pPr>
        <w:keepNext w:val="0"/>
        <w:keepLines w:val="0"/>
        <w:pageBreakBefore w:val="0"/>
        <w:kinsoku/>
        <w:wordWrap/>
        <w:topLinePunct w:val="0"/>
        <w:autoSpaceDE/>
        <w:autoSpaceDN/>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附件6:  竞争性磋商响应函</w:t>
      </w:r>
    </w:p>
    <w:p w14:paraId="21C99653">
      <w:pPr>
        <w:keepNext w:val="0"/>
        <w:keepLines w:val="0"/>
        <w:pageBreakBefore w:val="0"/>
        <w:kinsoku/>
        <w:wordWrap/>
        <w:topLinePunct w:val="0"/>
        <w:autoSpaceDE/>
        <w:autoSpaceDN/>
        <w:bidi w:val="0"/>
        <w:snapToGrid w:val="0"/>
        <w:spacing w:line="360" w:lineRule="auto"/>
        <w:ind w:firstLine="482" w:firstLineChars="200"/>
        <w:jc w:val="center"/>
        <w:rPr>
          <w:rFonts w:hint="eastAsia" w:ascii="宋体" w:hAnsi="宋体" w:eastAsia="宋体" w:cs="宋体"/>
          <w:b/>
          <w:color w:val="auto"/>
          <w:sz w:val="24"/>
          <w:szCs w:val="24"/>
          <w:highlight w:val="none"/>
        </w:rPr>
      </w:pPr>
    </w:p>
    <w:p w14:paraId="40D5D817">
      <w:pPr>
        <w:keepNext w:val="0"/>
        <w:keepLines w:val="0"/>
        <w:pageBreakBefore w:val="0"/>
        <w:kinsoku/>
        <w:wordWrap/>
        <w:topLinePunct w:val="0"/>
        <w:autoSpaceDE/>
        <w:autoSpaceDN/>
        <w:bidi w:val="0"/>
        <w:snapToGrid w:val="0"/>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竞争性磋商响应函</w:t>
      </w:r>
    </w:p>
    <w:p w14:paraId="70E9CC9A">
      <w:pPr>
        <w:keepNext w:val="0"/>
        <w:keepLines w:val="0"/>
        <w:pageBreakBefore w:val="0"/>
        <w:kinsoku/>
        <w:wordWrap/>
        <w:topLinePunct w:val="0"/>
        <w:autoSpaceDE/>
        <w:autoSpaceDN/>
        <w:bidi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南通市生态环境局：</w:t>
      </w:r>
    </w:p>
    <w:p w14:paraId="7D6958FF">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依据贵单位委托代理机构组织的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（磋商项目名称）项目竞争性磋商的邀请，我方授权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（职务）为全权代表参加该项目的磋商工作，全权处理本次竞争性磋商的有关事宜。同时，我公司声明如下：</w:t>
      </w:r>
    </w:p>
    <w:p w14:paraId="3AF0617D">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1、同意并接受竞争性磋商文件的各项要求，遵守竞争性磋商文件中的各项规定，按竞争性磋商文件的要求提供报价。</w:t>
      </w:r>
    </w:p>
    <w:p w14:paraId="21005E45">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14:paraId="1798FB7A">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3、我公司已毫无保留地向贵方提供一切所需的证明材料。</w:t>
      </w:r>
    </w:p>
    <w:p w14:paraId="17B65C27">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4、我公司承诺在本次磋商响应中提供的一切文件，无论是原件还是复印件均真实有效，绝无任何虚假、伪造和夸大的成份。否则，愿承担相应的后果和法律责任。</w:t>
      </w:r>
    </w:p>
    <w:p w14:paraId="004A9052">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color w:val="auto"/>
          <w:sz w:val="24"/>
          <w:szCs w:val="24"/>
          <w:highlight w:val="none"/>
        </w:rPr>
        <w:t>我公司尊重磋商小组所作的评定结果，同时清楚理解到报价最低并非意味着必定获得成交资格。</w:t>
      </w:r>
    </w:p>
    <w:p w14:paraId="70BCFD16">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6、一旦成交，我方承诺无正当理由拒绝签订合同，将被贵方取消成交资格，同意向贵方支付成交金额的2%作为违约金。</w:t>
      </w:r>
    </w:p>
    <w:p w14:paraId="210CC4DF">
      <w:pPr>
        <w:keepNext w:val="0"/>
        <w:keepLines w:val="0"/>
        <w:pageBreakBefore w:val="0"/>
        <w:kinsoku/>
        <w:wordWrap/>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7、一旦成交，我方将根据竞争性磋商文件的规定，严格履行合同规定的责任和义务。否则，我方同意无条件接受贵单位终止合同的要求。</w:t>
      </w:r>
    </w:p>
    <w:p w14:paraId="7426062E">
      <w:pPr>
        <w:pStyle w:val="12"/>
        <w:keepNext w:val="0"/>
        <w:keepLines w:val="0"/>
        <w:pageBreakBefore w:val="0"/>
        <w:kinsoku/>
        <w:wordWrap/>
        <w:topLinePunct w:val="0"/>
        <w:autoSpaceDE/>
        <w:autoSpaceDN/>
        <w:bidi w:val="0"/>
        <w:spacing w:line="360" w:lineRule="auto"/>
        <w:ind w:left="480" w:firstLine="480"/>
        <w:rPr>
          <w:rFonts w:hint="eastAsia" w:ascii="宋体" w:hAnsi="宋体" w:eastAsia="宋体" w:cs="宋体"/>
          <w:color w:val="auto"/>
          <w:sz w:val="24"/>
          <w:szCs w:val="24"/>
          <w:highlight w:val="none"/>
        </w:rPr>
      </w:pPr>
    </w:p>
    <w:p w14:paraId="0F6C511D">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供应商名称（公章）： </w:t>
      </w:r>
    </w:p>
    <w:p w14:paraId="1DA805D6">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法定代表人或其委托代理人（签字或加盖人名章）：</w:t>
      </w:r>
    </w:p>
    <w:p w14:paraId="33820C01">
      <w:pPr>
        <w:keepNext w:val="0"/>
        <w:keepLines w:val="0"/>
        <w:pageBreakBefore w:val="0"/>
        <w:kinsoku/>
        <w:wordWrap/>
        <w:topLinePunct w:val="0"/>
        <w:autoSpaceDE/>
        <w:autoSpaceDN/>
        <w:bidi w:val="0"/>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323F635E">
      <w:pPr>
        <w:pStyle w:val="16"/>
        <w:keepNext w:val="0"/>
        <w:keepLines w:val="0"/>
        <w:pageBreakBefore w:val="0"/>
        <w:kinsoku/>
        <w:wordWrap/>
        <w:topLinePunct w:val="0"/>
        <w:autoSpaceDE/>
        <w:autoSpaceDN/>
        <w:bidi w:val="0"/>
        <w:snapToGrid w:val="0"/>
        <w:spacing w:line="360" w:lineRule="auto"/>
        <w:ind w:firstLine="0" w:firstLineChars="0"/>
        <w:contextualSpacing/>
        <w:rPr>
          <w:rFonts w:hint="eastAsia" w:ascii="宋体" w:hAnsi="宋体" w:eastAsia="宋体" w:cs="宋体"/>
          <w:b/>
          <w:color w:val="auto"/>
          <w:sz w:val="24"/>
          <w:szCs w:val="24"/>
          <w:highlight w:val="none"/>
        </w:rPr>
      </w:pPr>
    </w:p>
    <w:p w14:paraId="512E8177">
      <w:pPr>
        <w:keepNext w:val="0"/>
        <w:keepLines w:val="0"/>
        <w:pageBreakBefore w:val="0"/>
        <w:kinsoku/>
        <w:wordWrap/>
        <w:topLinePunct w:val="0"/>
        <w:autoSpaceDE/>
        <w:autoSpaceDN/>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附件7:供应商情况一览表</w:t>
      </w:r>
    </w:p>
    <w:p w14:paraId="4F46F503">
      <w:pPr>
        <w:keepNext w:val="0"/>
        <w:keepLines w:val="0"/>
        <w:pageBreakBefore w:val="0"/>
        <w:kinsoku/>
        <w:wordWrap/>
        <w:topLinePunct w:val="0"/>
        <w:autoSpaceDE/>
        <w:autoSpaceDN/>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情况一览表</w:t>
      </w:r>
    </w:p>
    <w:tbl>
      <w:tblPr>
        <w:tblStyle w:val="1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51"/>
        <w:gridCol w:w="708"/>
        <w:gridCol w:w="1561"/>
        <w:gridCol w:w="1135"/>
        <w:gridCol w:w="851"/>
        <w:gridCol w:w="141"/>
        <w:gridCol w:w="271"/>
        <w:gridCol w:w="1002"/>
        <w:gridCol w:w="271"/>
        <w:gridCol w:w="1150"/>
        <w:gridCol w:w="851"/>
      </w:tblGrid>
      <w:tr w14:paraId="7A1A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dxa"/>
            <w:gridSpan w:val="2"/>
            <w:noWrap w:val="0"/>
            <w:vAlign w:val="center"/>
          </w:tcPr>
          <w:p w14:paraId="1666A77F">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7941" w:type="dxa"/>
            <w:gridSpan w:val="10"/>
            <w:noWrap w:val="0"/>
            <w:vAlign w:val="center"/>
          </w:tcPr>
          <w:p w14:paraId="107F52C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2D95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4" w:type="dxa"/>
            <w:gridSpan w:val="3"/>
            <w:noWrap w:val="0"/>
            <w:vAlign w:val="center"/>
          </w:tcPr>
          <w:p w14:paraId="5384E8B7">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单位优势及特长</w:t>
            </w:r>
          </w:p>
        </w:tc>
        <w:tc>
          <w:tcPr>
            <w:tcW w:w="7233" w:type="dxa"/>
            <w:gridSpan w:val="9"/>
            <w:noWrap w:val="0"/>
            <w:vAlign w:val="center"/>
          </w:tcPr>
          <w:p w14:paraId="1512A4D4">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469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011B059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p w14:paraId="43D68DC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概况</w:t>
            </w:r>
          </w:p>
        </w:tc>
        <w:tc>
          <w:tcPr>
            <w:tcW w:w="1559" w:type="dxa"/>
            <w:gridSpan w:val="2"/>
            <w:noWrap w:val="0"/>
            <w:vAlign w:val="center"/>
          </w:tcPr>
          <w:p w14:paraId="06982957">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职工总数</w:t>
            </w:r>
          </w:p>
        </w:tc>
        <w:tc>
          <w:tcPr>
            <w:tcW w:w="1561" w:type="dxa"/>
            <w:noWrap w:val="0"/>
            <w:vAlign w:val="center"/>
          </w:tcPr>
          <w:p w14:paraId="753F611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tc>
        <w:tc>
          <w:tcPr>
            <w:tcW w:w="1135" w:type="dxa"/>
            <w:vMerge w:val="restart"/>
            <w:noWrap w:val="0"/>
            <w:vAlign w:val="center"/>
          </w:tcPr>
          <w:p w14:paraId="363B1625">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上一年主要经济指标</w:t>
            </w:r>
          </w:p>
        </w:tc>
        <w:tc>
          <w:tcPr>
            <w:tcW w:w="992" w:type="dxa"/>
            <w:gridSpan w:val="2"/>
            <w:noWrap w:val="0"/>
            <w:vAlign w:val="center"/>
          </w:tcPr>
          <w:p w14:paraId="040AA5AD">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营业额</w:t>
            </w:r>
          </w:p>
        </w:tc>
        <w:tc>
          <w:tcPr>
            <w:tcW w:w="1273" w:type="dxa"/>
            <w:gridSpan w:val="2"/>
            <w:noWrap w:val="0"/>
            <w:vAlign w:val="center"/>
          </w:tcPr>
          <w:p w14:paraId="267E9580">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421" w:type="dxa"/>
            <w:gridSpan w:val="2"/>
            <w:noWrap w:val="0"/>
            <w:vAlign w:val="center"/>
          </w:tcPr>
          <w:p w14:paraId="1F94728B">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实现利润</w:t>
            </w:r>
          </w:p>
        </w:tc>
        <w:tc>
          <w:tcPr>
            <w:tcW w:w="851" w:type="dxa"/>
            <w:noWrap w:val="0"/>
            <w:vAlign w:val="center"/>
          </w:tcPr>
          <w:p w14:paraId="2D6ACFDD">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5F48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690F0BE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59" w:type="dxa"/>
            <w:gridSpan w:val="2"/>
            <w:noWrap w:val="0"/>
            <w:vAlign w:val="center"/>
          </w:tcPr>
          <w:p w14:paraId="3AB9E186">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流动资金</w:t>
            </w:r>
          </w:p>
        </w:tc>
        <w:tc>
          <w:tcPr>
            <w:tcW w:w="1561" w:type="dxa"/>
            <w:noWrap w:val="0"/>
            <w:vAlign w:val="center"/>
          </w:tcPr>
          <w:p w14:paraId="20CB40FC">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135" w:type="dxa"/>
            <w:vMerge w:val="continue"/>
            <w:noWrap w:val="0"/>
            <w:vAlign w:val="center"/>
          </w:tcPr>
          <w:p w14:paraId="7ED747B9">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992" w:type="dxa"/>
            <w:gridSpan w:val="2"/>
            <w:vMerge w:val="restart"/>
            <w:noWrap w:val="0"/>
            <w:vAlign w:val="center"/>
          </w:tcPr>
          <w:p w14:paraId="6CBBDEF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w:t>
            </w:r>
          </w:p>
          <w:p w14:paraId="1B5C0EE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tc>
        <w:tc>
          <w:tcPr>
            <w:tcW w:w="3545" w:type="dxa"/>
            <w:gridSpan w:val="5"/>
            <w:noWrap w:val="0"/>
            <w:vAlign w:val="center"/>
          </w:tcPr>
          <w:p w14:paraId="5CB6D864">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0DD0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815" w:type="dxa"/>
            <w:vMerge w:val="continue"/>
            <w:noWrap w:val="0"/>
            <w:vAlign w:val="center"/>
          </w:tcPr>
          <w:p w14:paraId="5561F23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59" w:type="dxa"/>
            <w:gridSpan w:val="2"/>
            <w:noWrap w:val="0"/>
            <w:vAlign w:val="center"/>
          </w:tcPr>
          <w:p w14:paraId="1C02BB8B">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w:t>
            </w:r>
          </w:p>
          <w:p w14:paraId="2FCF307E">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561" w:type="dxa"/>
            <w:noWrap w:val="0"/>
            <w:vAlign w:val="center"/>
          </w:tcPr>
          <w:p w14:paraId="7223489E">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原值：</w:t>
            </w:r>
          </w:p>
          <w:p w14:paraId="6C51FA0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净值：</w:t>
            </w:r>
          </w:p>
        </w:tc>
        <w:tc>
          <w:tcPr>
            <w:tcW w:w="1135" w:type="dxa"/>
            <w:vMerge w:val="continue"/>
            <w:noWrap w:val="0"/>
            <w:vAlign w:val="center"/>
          </w:tcPr>
          <w:p w14:paraId="32E36652">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992" w:type="dxa"/>
            <w:gridSpan w:val="2"/>
            <w:vMerge w:val="continue"/>
            <w:noWrap w:val="0"/>
            <w:vAlign w:val="center"/>
          </w:tcPr>
          <w:p w14:paraId="597C85D6">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3545" w:type="dxa"/>
            <w:gridSpan w:val="5"/>
            <w:noWrap w:val="0"/>
            <w:vAlign w:val="center"/>
          </w:tcPr>
          <w:p w14:paraId="40751319">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14:paraId="1159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111A6BC4">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59" w:type="dxa"/>
            <w:gridSpan w:val="2"/>
            <w:noWrap w:val="0"/>
            <w:vAlign w:val="center"/>
          </w:tcPr>
          <w:p w14:paraId="40B9EAAF">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占地面积</w:t>
            </w:r>
          </w:p>
        </w:tc>
        <w:tc>
          <w:tcPr>
            <w:tcW w:w="1561" w:type="dxa"/>
            <w:noWrap w:val="0"/>
            <w:vAlign w:val="center"/>
          </w:tcPr>
          <w:p w14:paraId="456156D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M2</w:t>
            </w:r>
          </w:p>
        </w:tc>
        <w:tc>
          <w:tcPr>
            <w:tcW w:w="1135" w:type="dxa"/>
            <w:vMerge w:val="continue"/>
            <w:noWrap w:val="0"/>
            <w:vAlign w:val="center"/>
          </w:tcPr>
          <w:p w14:paraId="5AB3014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992" w:type="dxa"/>
            <w:gridSpan w:val="2"/>
            <w:vMerge w:val="continue"/>
            <w:noWrap w:val="0"/>
            <w:vAlign w:val="center"/>
          </w:tcPr>
          <w:p w14:paraId="2BF7E6BE">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3545" w:type="dxa"/>
            <w:gridSpan w:val="5"/>
            <w:noWrap w:val="0"/>
            <w:vAlign w:val="center"/>
          </w:tcPr>
          <w:p w14:paraId="10E15AC2">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6641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771559B9">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p>
          <w:p w14:paraId="2AC6915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p w14:paraId="2F77E849">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791FD0A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情况</w:t>
            </w:r>
          </w:p>
        </w:tc>
        <w:tc>
          <w:tcPr>
            <w:tcW w:w="1559" w:type="dxa"/>
            <w:gridSpan w:val="2"/>
            <w:noWrap w:val="0"/>
            <w:vAlign w:val="center"/>
          </w:tcPr>
          <w:p w14:paraId="4D5DED13">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本次响应产品名称</w:t>
            </w:r>
          </w:p>
        </w:tc>
        <w:tc>
          <w:tcPr>
            <w:tcW w:w="1561" w:type="dxa"/>
            <w:noWrap w:val="0"/>
            <w:vAlign w:val="center"/>
          </w:tcPr>
          <w:p w14:paraId="61A4407A">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    号</w:t>
            </w:r>
          </w:p>
        </w:tc>
        <w:tc>
          <w:tcPr>
            <w:tcW w:w="1135" w:type="dxa"/>
            <w:noWrap w:val="0"/>
            <w:vAlign w:val="center"/>
          </w:tcPr>
          <w:p w14:paraId="4C7FE3BF">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上年产销量</w:t>
            </w:r>
          </w:p>
        </w:tc>
        <w:tc>
          <w:tcPr>
            <w:tcW w:w="1263" w:type="dxa"/>
            <w:gridSpan w:val="3"/>
            <w:noWrap w:val="0"/>
            <w:vAlign w:val="center"/>
          </w:tcPr>
          <w:p w14:paraId="5A4BEF07">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产品技术</w:t>
            </w:r>
          </w:p>
          <w:p w14:paraId="3B35B1CB">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先进水平</w:t>
            </w:r>
          </w:p>
        </w:tc>
        <w:tc>
          <w:tcPr>
            <w:tcW w:w="1273" w:type="dxa"/>
            <w:gridSpan w:val="2"/>
            <w:noWrap w:val="0"/>
            <w:vAlign w:val="center"/>
          </w:tcPr>
          <w:p w14:paraId="6A4BDD8B">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曾获何级</w:t>
            </w:r>
          </w:p>
          <w:p w14:paraId="56D06F4D">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何种奖励</w:t>
            </w:r>
          </w:p>
        </w:tc>
        <w:tc>
          <w:tcPr>
            <w:tcW w:w="2001" w:type="dxa"/>
            <w:gridSpan w:val="2"/>
            <w:noWrap w:val="0"/>
            <w:vAlign w:val="center"/>
          </w:tcPr>
          <w:p w14:paraId="16371E4F">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主要用户名称</w:t>
            </w:r>
          </w:p>
        </w:tc>
      </w:tr>
      <w:tr w14:paraId="4535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40F44299">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59" w:type="dxa"/>
            <w:gridSpan w:val="2"/>
            <w:noWrap w:val="0"/>
            <w:vAlign w:val="center"/>
          </w:tcPr>
          <w:p w14:paraId="7D194BD7">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61" w:type="dxa"/>
            <w:noWrap w:val="0"/>
            <w:vAlign w:val="center"/>
          </w:tcPr>
          <w:p w14:paraId="3DAB5B6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135" w:type="dxa"/>
            <w:noWrap w:val="0"/>
            <w:vAlign w:val="center"/>
          </w:tcPr>
          <w:p w14:paraId="27677BB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263" w:type="dxa"/>
            <w:gridSpan w:val="3"/>
            <w:noWrap w:val="0"/>
            <w:vAlign w:val="center"/>
          </w:tcPr>
          <w:p w14:paraId="3CAF171C">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273" w:type="dxa"/>
            <w:gridSpan w:val="2"/>
            <w:noWrap w:val="0"/>
            <w:vAlign w:val="center"/>
          </w:tcPr>
          <w:p w14:paraId="1A0128D6">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001" w:type="dxa"/>
            <w:gridSpan w:val="2"/>
            <w:noWrap w:val="0"/>
            <w:vAlign w:val="center"/>
          </w:tcPr>
          <w:p w14:paraId="7AC38C7F">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7AC6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2D0350FB">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59" w:type="dxa"/>
            <w:gridSpan w:val="2"/>
            <w:noWrap w:val="0"/>
            <w:vAlign w:val="center"/>
          </w:tcPr>
          <w:p w14:paraId="54C0472B">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61" w:type="dxa"/>
            <w:noWrap w:val="0"/>
            <w:vAlign w:val="center"/>
          </w:tcPr>
          <w:p w14:paraId="14CDD530">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135" w:type="dxa"/>
            <w:noWrap w:val="0"/>
            <w:vAlign w:val="center"/>
          </w:tcPr>
          <w:p w14:paraId="5740802C">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263" w:type="dxa"/>
            <w:gridSpan w:val="3"/>
            <w:noWrap w:val="0"/>
            <w:vAlign w:val="center"/>
          </w:tcPr>
          <w:p w14:paraId="239CEFC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273" w:type="dxa"/>
            <w:gridSpan w:val="2"/>
            <w:noWrap w:val="0"/>
            <w:vAlign w:val="center"/>
          </w:tcPr>
          <w:p w14:paraId="0ECAD0A5">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001" w:type="dxa"/>
            <w:gridSpan w:val="2"/>
            <w:noWrap w:val="0"/>
            <w:vAlign w:val="center"/>
          </w:tcPr>
          <w:p w14:paraId="00DC7384">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0D2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2A6FB8B9">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59" w:type="dxa"/>
            <w:gridSpan w:val="2"/>
            <w:noWrap w:val="0"/>
            <w:vAlign w:val="center"/>
          </w:tcPr>
          <w:p w14:paraId="4A9DB5CB">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61" w:type="dxa"/>
            <w:noWrap w:val="0"/>
            <w:vAlign w:val="center"/>
          </w:tcPr>
          <w:p w14:paraId="2E01915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135" w:type="dxa"/>
            <w:noWrap w:val="0"/>
            <w:vAlign w:val="center"/>
          </w:tcPr>
          <w:p w14:paraId="31EA9599">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263" w:type="dxa"/>
            <w:gridSpan w:val="3"/>
            <w:noWrap w:val="0"/>
            <w:vAlign w:val="center"/>
          </w:tcPr>
          <w:p w14:paraId="12F62FC5">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273" w:type="dxa"/>
            <w:gridSpan w:val="2"/>
            <w:noWrap w:val="0"/>
            <w:vAlign w:val="center"/>
          </w:tcPr>
          <w:p w14:paraId="365E7A2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001" w:type="dxa"/>
            <w:gridSpan w:val="2"/>
            <w:noWrap w:val="0"/>
            <w:vAlign w:val="center"/>
          </w:tcPr>
          <w:p w14:paraId="119B93F2">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4157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noWrap w:val="0"/>
            <w:vAlign w:val="center"/>
          </w:tcPr>
          <w:p w14:paraId="1B3B99A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59" w:type="dxa"/>
            <w:gridSpan w:val="2"/>
            <w:noWrap w:val="0"/>
            <w:vAlign w:val="center"/>
          </w:tcPr>
          <w:p w14:paraId="2307DC1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561" w:type="dxa"/>
            <w:noWrap w:val="0"/>
            <w:vAlign w:val="center"/>
          </w:tcPr>
          <w:p w14:paraId="57FDBA7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135" w:type="dxa"/>
            <w:noWrap w:val="0"/>
            <w:vAlign w:val="center"/>
          </w:tcPr>
          <w:p w14:paraId="4393DA06">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263" w:type="dxa"/>
            <w:gridSpan w:val="3"/>
            <w:noWrap w:val="0"/>
            <w:vAlign w:val="center"/>
          </w:tcPr>
          <w:p w14:paraId="063A90A1">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273" w:type="dxa"/>
            <w:gridSpan w:val="2"/>
            <w:noWrap w:val="0"/>
            <w:vAlign w:val="center"/>
          </w:tcPr>
          <w:p w14:paraId="4D46FD2F">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001" w:type="dxa"/>
            <w:gridSpan w:val="2"/>
            <w:noWrap w:val="0"/>
            <w:vAlign w:val="center"/>
          </w:tcPr>
          <w:p w14:paraId="6A36A78C">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38BF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noWrap w:val="0"/>
            <w:vAlign w:val="center"/>
          </w:tcPr>
          <w:p w14:paraId="727B7C14">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c>
          <w:tcPr>
            <w:tcW w:w="5106" w:type="dxa"/>
            <w:gridSpan w:val="5"/>
            <w:noWrap w:val="0"/>
            <w:vAlign w:val="center"/>
          </w:tcPr>
          <w:p w14:paraId="365C3100">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3686" w:type="dxa"/>
            <w:gridSpan w:val="6"/>
            <w:noWrap w:val="0"/>
            <w:vAlign w:val="center"/>
          </w:tcPr>
          <w:p w14:paraId="14DC70CE">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如有名称变更（非因该单位出现了与资格预审（如果经此程序）时的营业性质的根本改变以至不再满足本次磋商的要求），说明原名称因何种原因变更为现名称，并提供由市场监督管理部门出具的变更证明文件。</w:t>
            </w:r>
          </w:p>
        </w:tc>
      </w:tr>
      <w:tr w14:paraId="2B4C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815" w:type="dxa"/>
            <w:vMerge w:val="continue"/>
            <w:noWrap w:val="0"/>
            <w:vAlign w:val="center"/>
          </w:tcPr>
          <w:p w14:paraId="77583FAB">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5106" w:type="dxa"/>
            <w:gridSpan w:val="5"/>
            <w:noWrap w:val="0"/>
            <w:vAlign w:val="center"/>
          </w:tcPr>
          <w:p w14:paraId="1911F70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3686" w:type="dxa"/>
            <w:gridSpan w:val="6"/>
            <w:noWrap w:val="0"/>
            <w:vAlign w:val="center"/>
          </w:tcPr>
          <w:p w14:paraId="05AD2715">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bl>
    <w:p w14:paraId="7C8DB5A3">
      <w:pPr>
        <w:keepNext w:val="0"/>
        <w:keepLines w:val="0"/>
        <w:pageBreakBefore w:val="0"/>
        <w:widowControl/>
        <w:kinsoku/>
        <w:wordWrap/>
        <w:topLinePunct w:val="0"/>
        <w:autoSpaceDE/>
        <w:autoSpaceDN/>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附件8：商务部分（技术部分）正负偏离表</w:t>
      </w:r>
    </w:p>
    <w:p w14:paraId="76704814">
      <w:pPr>
        <w:keepNext w:val="0"/>
        <w:keepLines w:val="0"/>
        <w:pageBreakBefore w:val="0"/>
        <w:kinsoku/>
        <w:wordWrap/>
        <w:topLinePunct w:val="0"/>
        <w:autoSpaceDE/>
        <w:autoSpaceDN/>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商务部分（技术部分）正负偏离表</w:t>
      </w:r>
    </w:p>
    <w:p w14:paraId="6A7DCD5C">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（由供应商据实提交，表格不够自行添加）</w:t>
      </w:r>
    </w:p>
    <w:tbl>
      <w:tblPr>
        <w:tblStyle w:val="1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586"/>
        <w:gridCol w:w="2706"/>
        <w:gridCol w:w="2720"/>
        <w:gridCol w:w="1417"/>
      </w:tblGrid>
      <w:tr w14:paraId="5490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49" w:type="dxa"/>
            <w:noWrap w:val="0"/>
            <w:vAlign w:val="center"/>
          </w:tcPr>
          <w:p w14:paraId="40FCA03A">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86" w:type="dxa"/>
            <w:noWrap w:val="0"/>
            <w:vAlign w:val="center"/>
          </w:tcPr>
          <w:p w14:paraId="48255562">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货物或服务名称</w:t>
            </w:r>
          </w:p>
        </w:tc>
        <w:tc>
          <w:tcPr>
            <w:tcW w:w="2706" w:type="dxa"/>
            <w:noWrap w:val="0"/>
            <w:vAlign w:val="center"/>
          </w:tcPr>
          <w:p w14:paraId="49EB5E46">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2720" w:type="dxa"/>
            <w:noWrap w:val="0"/>
            <w:vAlign w:val="center"/>
          </w:tcPr>
          <w:p w14:paraId="7188C971">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响应文件响应情况</w:t>
            </w:r>
          </w:p>
        </w:tc>
        <w:tc>
          <w:tcPr>
            <w:tcW w:w="1417" w:type="dxa"/>
            <w:noWrap w:val="0"/>
            <w:vAlign w:val="center"/>
          </w:tcPr>
          <w:p w14:paraId="3E800787">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31DE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9" w:type="dxa"/>
            <w:noWrap w:val="0"/>
            <w:vAlign w:val="top"/>
          </w:tcPr>
          <w:p w14:paraId="77D0A1EC">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86" w:type="dxa"/>
            <w:noWrap w:val="0"/>
            <w:vAlign w:val="center"/>
          </w:tcPr>
          <w:p w14:paraId="105DC895">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706" w:type="dxa"/>
            <w:noWrap w:val="0"/>
            <w:vAlign w:val="center"/>
          </w:tcPr>
          <w:p w14:paraId="1D7B6DD5">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720" w:type="dxa"/>
            <w:noWrap w:val="0"/>
            <w:vAlign w:val="center"/>
          </w:tcPr>
          <w:p w14:paraId="06AB513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417" w:type="dxa"/>
            <w:noWrap w:val="0"/>
            <w:vAlign w:val="top"/>
          </w:tcPr>
          <w:p w14:paraId="056BF53F">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002F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9" w:type="dxa"/>
            <w:noWrap w:val="0"/>
            <w:vAlign w:val="top"/>
          </w:tcPr>
          <w:p w14:paraId="08EC0D3A">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86" w:type="dxa"/>
            <w:noWrap w:val="0"/>
            <w:vAlign w:val="center"/>
          </w:tcPr>
          <w:p w14:paraId="29E88E97">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706" w:type="dxa"/>
            <w:noWrap w:val="0"/>
            <w:vAlign w:val="center"/>
          </w:tcPr>
          <w:p w14:paraId="3ADF0C03">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720" w:type="dxa"/>
            <w:noWrap w:val="0"/>
            <w:vAlign w:val="center"/>
          </w:tcPr>
          <w:p w14:paraId="4F0F643D">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417" w:type="dxa"/>
            <w:noWrap w:val="0"/>
            <w:vAlign w:val="top"/>
          </w:tcPr>
          <w:p w14:paraId="192B4442">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2E70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9" w:type="dxa"/>
            <w:noWrap w:val="0"/>
            <w:vAlign w:val="top"/>
          </w:tcPr>
          <w:p w14:paraId="75BF8FE1">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86" w:type="dxa"/>
            <w:noWrap w:val="0"/>
            <w:vAlign w:val="center"/>
          </w:tcPr>
          <w:p w14:paraId="3CBD95E0">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706" w:type="dxa"/>
            <w:noWrap w:val="0"/>
            <w:vAlign w:val="center"/>
          </w:tcPr>
          <w:p w14:paraId="32FE1AAB">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720" w:type="dxa"/>
            <w:noWrap w:val="0"/>
            <w:vAlign w:val="center"/>
          </w:tcPr>
          <w:p w14:paraId="4339FEBF">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417" w:type="dxa"/>
            <w:noWrap w:val="0"/>
            <w:vAlign w:val="top"/>
          </w:tcPr>
          <w:p w14:paraId="43E13E6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r w14:paraId="672B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49" w:type="dxa"/>
            <w:noWrap w:val="0"/>
            <w:vAlign w:val="top"/>
          </w:tcPr>
          <w:p w14:paraId="454657CF">
            <w:pPr>
              <w:keepNext w:val="0"/>
              <w:keepLines w:val="0"/>
              <w:pageBreakBefore w:val="0"/>
              <w:kinsoku/>
              <w:wordWrap/>
              <w:topLinePunct w:val="0"/>
              <w:autoSpaceDE/>
              <w:autoSpaceDN/>
              <w:bidi w:val="0"/>
              <w:spacing w:line="360" w:lineRule="auto"/>
              <w:jc w:val="center"/>
              <w:rPr>
                <w:rFonts w:hint="eastAsia" w:ascii="宋体" w:hAnsi="宋体" w:eastAsia="宋体" w:cs="宋体"/>
                <w:color w:val="auto"/>
                <w:sz w:val="24"/>
                <w:szCs w:val="24"/>
                <w:highlight w:val="none"/>
              </w:rPr>
            </w:pPr>
          </w:p>
        </w:tc>
        <w:tc>
          <w:tcPr>
            <w:tcW w:w="1586" w:type="dxa"/>
            <w:noWrap w:val="0"/>
            <w:vAlign w:val="center"/>
          </w:tcPr>
          <w:p w14:paraId="0F9508BC">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706" w:type="dxa"/>
            <w:noWrap w:val="0"/>
            <w:vAlign w:val="center"/>
          </w:tcPr>
          <w:p w14:paraId="76C9DC4F">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2720" w:type="dxa"/>
            <w:noWrap w:val="0"/>
            <w:vAlign w:val="center"/>
          </w:tcPr>
          <w:p w14:paraId="41F3201F">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c>
          <w:tcPr>
            <w:tcW w:w="1417" w:type="dxa"/>
            <w:noWrap w:val="0"/>
            <w:vAlign w:val="top"/>
          </w:tcPr>
          <w:p w14:paraId="3DAFFF1A">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p>
        </w:tc>
      </w:tr>
    </w:tbl>
    <w:p w14:paraId="6729ABD6">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6CFD529">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1.供应商提交的响应文件中与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文件第三部分“项目需求说明”中的商务、技术部分的要求有不同时，应逐条填列在偏离表中，否则将认为供应商接受招标文件的所有要求。</w:t>
      </w:r>
    </w:p>
    <w:p w14:paraId="6C469520">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2.“偏离说明”一栏选择“正偏离”、“负偏离”、“无偏离”进行填写。正偏离的确认和负偏离的是否相应招标文件，经三分之二评委认定。</w:t>
      </w:r>
    </w:p>
    <w:p w14:paraId="437EC9DF">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3.供应商如果虚假响应，将承担被暂停参加采购人组织政府采购活动的风险。</w:t>
      </w:r>
    </w:p>
    <w:p w14:paraId="1E81F6A1">
      <w:pPr>
        <w:keepNext w:val="0"/>
        <w:keepLines w:val="0"/>
        <w:pageBreakBefore w:val="0"/>
        <w:tabs>
          <w:tab w:val="left" w:pos="3852"/>
        </w:tabs>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4.供应商若提供其他增值服务，可以在表中自行据实填写。</w:t>
      </w:r>
      <w:bookmarkStart w:id="22" w:name="_Toc105579206"/>
    </w:p>
    <w:bookmarkEnd w:id="22"/>
    <w:p w14:paraId="79EBDF77">
      <w:pPr>
        <w:keepNext w:val="0"/>
        <w:keepLines w:val="0"/>
        <w:pageBreakBefore w:val="0"/>
        <w:kinsoku/>
        <w:wordWrap/>
        <w:topLinePunct w:val="0"/>
        <w:autoSpaceDE/>
        <w:autoSpaceDN/>
        <w:bidi w:val="0"/>
        <w:spacing w:line="360" w:lineRule="auto"/>
        <w:rPr>
          <w:rFonts w:hint="eastAsia" w:ascii="宋体" w:hAnsi="宋体" w:eastAsia="宋体" w:cs="宋体"/>
          <w:color w:val="auto"/>
          <w:sz w:val="24"/>
          <w:szCs w:val="24"/>
          <w:highlight w:val="none"/>
        </w:rPr>
      </w:pPr>
      <w:bookmarkStart w:id="23" w:name="_Toc29140"/>
      <w:bookmarkStart w:id="24" w:name="_Toc21360"/>
      <w:bookmarkStart w:id="25" w:name="_Toc11031"/>
      <w:bookmarkStart w:id="26" w:name="_Toc468781351"/>
    </w:p>
    <w:p w14:paraId="09AD6F55">
      <w:pPr>
        <w:autoSpaceDE w:val="0"/>
        <w:autoSpaceDN w:val="0"/>
        <w:snapToGrid w:val="0"/>
        <w:ind w:left="105" w:leftChars="50" w:firstLine="420" w:firstLineChars="200"/>
        <w:rPr>
          <w:rFonts w:hint="eastAsia" w:ascii="宋体" w:hAnsi="宋体" w:cs="宋体"/>
          <w:color w:val="auto"/>
          <w:szCs w:val="24"/>
          <w:highlight w:val="none"/>
        </w:rPr>
      </w:pPr>
    </w:p>
    <w:bookmarkEnd w:id="23"/>
    <w:bookmarkEnd w:id="24"/>
    <w:bookmarkEnd w:id="25"/>
    <w:p w14:paraId="6F987E68">
      <w:pPr>
        <w:spacing w:line="420" w:lineRule="exact"/>
        <w:jc w:val="center"/>
        <w:rPr>
          <w:b/>
          <w:bCs/>
          <w:color w:val="auto"/>
          <w:sz w:val="24"/>
          <w:highlight w:val="none"/>
        </w:rPr>
      </w:pPr>
      <w:r>
        <w:rPr>
          <w:rFonts w:hint="eastAsia" w:ascii="宋体" w:hAnsi="宋体" w:cs="宋体"/>
          <w:b/>
          <w:color w:val="auto"/>
          <w:spacing w:val="20"/>
          <w:szCs w:val="24"/>
          <w:highlight w:val="none"/>
        </w:rPr>
        <w:br w:type="page"/>
      </w:r>
      <w:bookmarkStart w:id="27" w:name="_Toc9094"/>
      <w:bookmarkStart w:id="28" w:name="_Toc15854"/>
      <w:r>
        <w:rPr>
          <w:rFonts w:hint="eastAsia" w:ascii="宋体" w:hAnsi="宋体" w:cs="宋体"/>
          <w:b/>
          <w:color w:val="auto"/>
          <w:szCs w:val="24"/>
          <w:highlight w:val="none"/>
        </w:rPr>
        <w:t>附件9：</w:t>
      </w:r>
      <w:r>
        <w:rPr>
          <w:b/>
          <w:color w:val="auto"/>
          <w:sz w:val="24"/>
          <w:highlight w:val="none"/>
        </w:rPr>
        <w:t>磋商响应报价表</w:t>
      </w:r>
    </w:p>
    <w:p w14:paraId="2011A858">
      <w:pPr>
        <w:spacing w:line="420" w:lineRule="exact"/>
        <w:jc w:val="center"/>
        <w:rPr>
          <w:b/>
          <w:bCs/>
          <w:color w:val="auto"/>
          <w:sz w:val="24"/>
          <w:highlight w:val="none"/>
        </w:rPr>
      </w:pP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352"/>
      </w:tblGrid>
      <w:tr w14:paraId="05F6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557BA41A">
            <w:pPr>
              <w:spacing w:line="480" w:lineRule="exact"/>
              <w:jc w:val="center"/>
              <w:rPr>
                <w:color w:val="auto"/>
                <w:sz w:val="24"/>
                <w:szCs w:val="20"/>
                <w:highlight w:val="none"/>
              </w:rPr>
            </w:pPr>
            <w:r>
              <w:rPr>
                <w:color w:val="auto"/>
                <w:sz w:val="24"/>
                <w:szCs w:val="20"/>
                <w:highlight w:val="none"/>
              </w:rPr>
              <w:t>项目编号</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60A03A1A">
            <w:pPr>
              <w:spacing w:line="360" w:lineRule="auto"/>
              <w:jc w:val="center"/>
              <w:rPr>
                <w:color w:val="auto"/>
                <w:sz w:val="24"/>
                <w:szCs w:val="20"/>
                <w:highlight w:val="none"/>
              </w:rPr>
            </w:pPr>
          </w:p>
        </w:tc>
      </w:tr>
      <w:tr w14:paraId="06EC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5049AFEB">
            <w:pPr>
              <w:spacing w:line="480" w:lineRule="exact"/>
              <w:jc w:val="center"/>
              <w:rPr>
                <w:color w:val="auto"/>
                <w:sz w:val="24"/>
                <w:szCs w:val="20"/>
                <w:highlight w:val="none"/>
                <w:lang w:bidi="ar"/>
              </w:rPr>
            </w:pPr>
            <w:r>
              <w:rPr>
                <w:color w:val="auto"/>
                <w:sz w:val="24"/>
                <w:szCs w:val="20"/>
                <w:highlight w:val="none"/>
                <w:lang w:bidi="ar"/>
              </w:rPr>
              <w:t>项目名称</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7152B11C">
            <w:pPr>
              <w:spacing w:line="480" w:lineRule="exact"/>
              <w:jc w:val="center"/>
              <w:rPr>
                <w:rFonts w:hint="eastAsia" w:eastAsia="宋体"/>
                <w:color w:val="auto"/>
                <w:sz w:val="24"/>
                <w:szCs w:val="20"/>
                <w:highlight w:val="none"/>
                <w:lang w:eastAsia="zh-CN"/>
              </w:rPr>
            </w:pPr>
            <w:r>
              <w:rPr>
                <w:rFonts w:hint="eastAsia"/>
                <w:color w:val="auto"/>
                <w:sz w:val="24"/>
                <w:highlight w:val="none"/>
                <w:lang w:val="en-US" w:eastAsia="zh-CN"/>
              </w:rPr>
              <w:t xml:space="preserve"> </w:t>
            </w:r>
          </w:p>
        </w:tc>
      </w:tr>
      <w:tr w14:paraId="10AE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4912AEB5">
            <w:pPr>
              <w:spacing w:line="480" w:lineRule="exact"/>
              <w:jc w:val="center"/>
              <w:rPr>
                <w:color w:val="auto"/>
                <w:sz w:val="24"/>
                <w:szCs w:val="20"/>
                <w:highlight w:val="none"/>
                <w:lang w:bidi="ar"/>
              </w:rPr>
            </w:pPr>
            <w:r>
              <w:rPr>
                <w:color w:val="auto"/>
                <w:sz w:val="24"/>
                <w:szCs w:val="20"/>
                <w:highlight w:val="none"/>
                <w:lang w:bidi="ar"/>
              </w:rPr>
              <w:t>磋商报价总计（首次）</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1FE20451">
            <w:pPr>
              <w:spacing w:line="480" w:lineRule="exact"/>
              <w:rPr>
                <w:color w:val="auto"/>
                <w:sz w:val="24"/>
                <w:szCs w:val="20"/>
                <w:highlight w:val="none"/>
              </w:rPr>
            </w:pPr>
            <w:r>
              <w:rPr>
                <w:color w:val="auto"/>
                <w:sz w:val="24"/>
                <w:szCs w:val="20"/>
                <w:highlight w:val="none"/>
                <w:lang w:bidi="ar"/>
              </w:rPr>
              <w:t>人民币大写：</w:t>
            </w:r>
            <w:r>
              <w:rPr>
                <w:color w:val="auto"/>
                <w:sz w:val="24"/>
                <w:szCs w:val="20"/>
                <w:highlight w:val="none"/>
                <w:u w:val="single"/>
                <w:lang w:bidi="ar"/>
              </w:rPr>
              <w:t xml:space="preserve">                      </w:t>
            </w:r>
            <w:r>
              <w:rPr>
                <w:color w:val="auto"/>
                <w:sz w:val="24"/>
                <w:szCs w:val="20"/>
                <w:highlight w:val="none"/>
                <w:lang w:bidi="ar"/>
              </w:rPr>
              <w:t>，¥</w:t>
            </w:r>
            <w:r>
              <w:rPr>
                <w:color w:val="auto"/>
                <w:sz w:val="24"/>
                <w:szCs w:val="20"/>
                <w:highlight w:val="none"/>
                <w:u w:val="single"/>
                <w:lang w:bidi="ar"/>
              </w:rPr>
              <w:t xml:space="preserve">            </w:t>
            </w:r>
            <w:r>
              <w:rPr>
                <w:color w:val="auto"/>
                <w:sz w:val="24"/>
                <w:szCs w:val="20"/>
                <w:highlight w:val="none"/>
                <w:lang w:bidi="ar"/>
              </w:rPr>
              <w:t xml:space="preserve"> 元。</w:t>
            </w:r>
          </w:p>
        </w:tc>
      </w:tr>
      <w:tr w14:paraId="76B2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14:paraId="26D412E8">
            <w:pPr>
              <w:spacing w:line="480" w:lineRule="exact"/>
              <w:jc w:val="center"/>
              <w:rPr>
                <w:color w:val="auto"/>
                <w:sz w:val="24"/>
                <w:szCs w:val="20"/>
                <w:highlight w:val="none"/>
              </w:rPr>
            </w:pPr>
            <w:r>
              <w:rPr>
                <w:color w:val="auto"/>
                <w:sz w:val="24"/>
                <w:szCs w:val="20"/>
                <w:highlight w:val="none"/>
                <w:lang w:bidi="ar"/>
              </w:rPr>
              <w:t>磋商报价总计（二次）</w:t>
            </w:r>
          </w:p>
        </w:tc>
        <w:tc>
          <w:tcPr>
            <w:tcW w:w="7352" w:type="dxa"/>
            <w:tcBorders>
              <w:top w:val="single" w:color="auto" w:sz="4" w:space="0"/>
              <w:left w:val="single" w:color="auto" w:sz="4" w:space="0"/>
              <w:bottom w:val="single" w:color="auto" w:sz="4" w:space="0"/>
              <w:right w:val="single" w:color="auto" w:sz="4" w:space="0"/>
            </w:tcBorders>
            <w:noWrap w:val="0"/>
            <w:vAlign w:val="center"/>
          </w:tcPr>
          <w:p w14:paraId="15B4982D">
            <w:pPr>
              <w:spacing w:line="480" w:lineRule="exact"/>
              <w:rPr>
                <w:color w:val="auto"/>
                <w:sz w:val="24"/>
                <w:szCs w:val="20"/>
                <w:highlight w:val="none"/>
                <w:u w:val="single"/>
              </w:rPr>
            </w:pPr>
            <w:r>
              <w:rPr>
                <w:color w:val="auto"/>
                <w:sz w:val="24"/>
                <w:szCs w:val="20"/>
                <w:highlight w:val="none"/>
                <w:lang w:bidi="ar"/>
              </w:rPr>
              <w:t>人民币大写：</w:t>
            </w:r>
            <w:r>
              <w:rPr>
                <w:color w:val="auto"/>
                <w:sz w:val="24"/>
                <w:szCs w:val="20"/>
                <w:highlight w:val="none"/>
                <w:u w:val="single"/>
                <w:lang w:bidi="ar"/>
              </w:rPr>
              <w:t xml:space="preserve">                      </w:t>
            </w:r>
            <w:r>
              <w:rPr>
                <w:color w:val="auto"/>
                <w:sz w:val="24"/>
                <w:szCs w:val="20"/>
                <w:highlight w:val="none"/>
                <w:lang w:bidi="ar"/>
              </w:rPr>
              <w:t>，¥</w:t>
            </w:r>
            <w:r>
              <w:rPr>
                <w:color w:val="auto"/>
                <w:sz w:val="24"/>
                <w:szCs w:val="20"/>
                <w:highlight w:val="none"/>
                <w:u w:val="single"/>
                <w:lang w:bidi="ar"/>
              </w:rPr>
              <w:t xml:space="preserve">            </w:t>
            </w:r>
            <w:r>
              <w:rPr>
                <w:color w:val="auto"/>
                <w:sz w:val="24"/>
                <w:szCs w:val="20"/>
                <w:highlight w:val="none"/>
                <w:lang w:bidi="ar"/>
              </w:rPr>
              <w:t xml:space="preserve"> 元。</w:t>
            </w:r>
          </w:p>
        </w:tc>
      </w:tr>
    </w:tbl>
    <w:p w14:paraId="1CDB6500">
      <w:pPr>
        <w:kinsoku w:val="0"/>
        <w:topLinePunct/>
        <w:snapToGrid w:val="0"/>
        <w:spacing w:line="520" w:lineRule="exact"/>
        <w:rPr>
          <w:b/>
          <w:color w:val="auto"/>
          <w:sz w:val="24"/>
          <w:highlight w:val="none"/>
        </w:rPr>
      </w:pPr>
    </w:p>
    <w:p w14:paraId="67BE8F0E">
      <w:pPr>
        <w:snapToGrid w:val="0"/>
        <w:spacing w:line="520" w:lineRule="exact"/>
        <w:jc w:val="right"/>
        <w:outlineLvl w:val="3"/>
        <w:rPr>
          <w:color w:val="auto"/>
          <w:sz w:val="24"/>
          <w:highlight w:val="none"/>
        </w:rPr>
      </w:pPr>
    </w:p>
    <w:p w14:paraId="53529BF4">
      <w:pPr>
        <w:snapToGrid w:val="0"/>
        <w:spacing w:line="520" w:lineRule="exact"/>
        <w:jc w:val="right"/>
        <w:outlineLvl w:val="3"/>
        <w:rPr>
          <w:color w:val="auto"/>
          <w:sz w:val="24"/>
          <w:highlight w:val="none"/>
        </w:rPr>
      </w:pPr>
      <w:r>
        <w:rPr>
          <w:color w:val="auto"/>
          <w:sz w:val="24"/>
          <w:highlight w:val="none"/>
        </w:rPr>
        <w:t>供应商名称：</w:t>
      </w:r>
      <w:r>
        <w:rPr>
          <w:color w:val="auto"/>
          <w:sz w:val="24"/>
          <w:highlight w:val="none"/>
          <w:u w:val="single"/>
        </w:rPr>
        <w:t xml:space="preserve">                    </w:t>
      </w:r>
      <w:r>
        <w:rPr>
          <w:color w:val="auto"/>
          <w:sz w:val="24"/>
          <w:highlight w:val="none"/>
        </w:rPr>
        <w:t>（加盖公章）</w:t>
      </w:r>
    </w:p>
    <w:p w14:paraId="37BCD920">
      <w:pPr>
        <w:snapToGrid w:val="0"/>
        <w:spacing w:line="520" w:lineRule="exact"/>
        <w:jc w:val="right"/>
        <w:outlineLvl w:val="3"/>
        <w:rPr>
          <w:color w:val="auto"/>
          <w:sz w:val="24"/>
          <w:highlight w:val="none"/>
        </w:rPr>
      </w:pPr>
      <w:r>
        <w:rPr>
          <w:color w:val="auto"/>
          <w:sz w:val="24"/>
          <w:highlight w:val="none"/>
        </w:rPr>
        <w:t>法定代表人或被授权人：</w:t>
      </w:r>
      <w:r>
        <w:rPr>
          <w:color w:val="auto"/>
          <w:sz w:val="24"/>
          <w:highlight w:val="none"/>
          <w:u w:val="single"/>
        </w:rPr>
        <w:t xml:space="preserve">        </w:t>
      </w:r>
      <w:r>
        <w:rPr>
          <w:color w:val="auto"/>
          <w:sz w:val="24"/>
          <w:highlight w:val="none"/>
        </w:rPr>
        <w:t>（签字或盖章）</w:t>
      </w:r>
    </w:p>
    <w:p w14:paraId="68ADB5CD">
      <w:pPr>
        <w:kinsoku w:val="0"/>
        <w:topLinePunct/>
        <w:snapToGrid w:val="0"/>
        <w:spacing w:line="520" w:lineRule="exact"/>
        <w:ind w:firstLine="4080" w:firstLineChars="1700"/>
        <w:rPr>
          <w:color w:val="auto"/>
          <w:sz w:val="24"/>
          <w:highlight w:val="none"/>
        </w:rPr>
      </w:pPr>
      <w:r>
        <w:rPr>
          <w:color w:val="auto"/>
          <w:sz w:val="24"/>
          <w:highlight w:val="none"/>
        </w:rPr>
        <w:t>日期：</w:t>
      </w:r>
    </w:p>
    <w:p w14:paraId="796C50EA">
      <w:pPr>
        <w:kinsoku w:val="0"/>
        <w:topLinePunct/>
        <w:snapToGrid w:val="0"/>
        <w:spacing w:line="520" w:lineRule="exact"/>
        <w:rPr>
          <w:b/>
          <w:color w:val="auto"/>
          <w:sz w:val="24"/>
          <w:highlight w:val="none"/>
        </w:rPr>
      </w:pPr>
      <w:r>
        <w:rPr>
          <w:b/>
          <w:color w:val="auto"/>
          <w:sz w:val="24"/>
          <w:highlight w:val="none"/>
        </w:rPr>
        <w:t>注：</w:t>
      </w:r>
    </w:p>
    <w:p w14:paraId="599B326A">
      <w:pPr>
        <w:numPr>
          <w:ilvl w:val="0"/>
          <w:numId w:val="3"/>
        </w:numPr>
        <w:kinsoku w:val="0"/>
        <w:topLinePunct/>
        <w:snapToGrid w:val="0"/>
        <w:spacing w:line="520" w:lineRule="exact"/>
        <w:rPr>
          <w:color w:val="auto"/>
          <w:sz w:val="24"/>
          <w:highlight w:val="none"/>
        </w:rPr>
      </w:pPr>
      <w:r>
        <w:rPr>
          <w:color w:val="auto"/>
          <w:sz w:val="24"/>
          <w:highlight w:val="none"/>
        </w:rPr>
        <w:t xml:space="preserve"> 本表为格式表，不得自行改动，必须提供。</w:t>
      </w:r>
    </w:p>
    <w:p w14:paraId="6C0E25E9">
      <w:pPr>
        <w:numPr>
          <w:ilvl w:val="0"/>
          <w:numId w:val="3"/>
        </w:numPr>
        <w:kinsoku w:val="0"/>
        <w:topLinePunct/>
        <w:snapToGrid w:val="0"/>
        <w:spacing w:line="520" w:lineRule="exact"/>
        <w:rPr>
          <w:color w:val="auto"/>
          <w:sz w:val="24"/>
          <w:highlight w:val="none"/>
        </w:rPr>
      </w:pPr>
      <w:r>
        <w:rPr>
          <w:color w:val="auto"/>
          <w:sz w:val="24"/>
          <w:highlight w:val="none"/>
        </w:rPr>
        <w:t>投标总报价（以人民币计价）应包括但不限于法律顾问咨询和服务的劳务、交通、食宿、通信、政策</w:t>
      </w:r>
      <w:r>
        <w:rPr>
          <w:bCs/>
          <w:color w:val="auto"/>
          <w:sz w:val="24"/>
          <w:highlight w:val="none"/>
        </w:rPr>
        <w:t>性调整风险费、代理服务费</w:t>
      </w:r>
      <w:r>
        <w:rPr>
          <w:color w:val="auto"/>
          <w:sz w:val="24"/>
          <w:highlight w:val="none"/>
        </w:rPr>
        <w:t>、</w:t>
      </w:r>
      <w:r>
        <w:rPr>
          <w:bCs/>
          <w:color w:val="auto"/>
          <w:sz w:val="24"/>
          <w:highlight w:val="none"/>
        </w:rPr>
        <w:t>相关伴随服务、管理费、利润、税金</w:t>
      </w:r>
      <w:r>
        <w:rPr>
          <w:color w:val="auto"/>
          <w:sz w:val="24"/>
          <w:highlight w:val="none"/>
        </w:rPr>
        <w:t>等费用。</w:t>
      </w:r>
      <w:r>
        <w:rPr>
          <w:bCs/>
          <w:color w:val="auto"/>
          <w:sz w:val="24"/>
          <w:highlight w:val="none"/>
        </w:rPr>
        <w:t>即为完成本项目服务及响应磋商文件采购要求所发生的全部有费用。</w:t>
      </w:r>
    </w:p>
    <w:p w14:paraId="79372ED4">
      <w:pPr>
        <w:numPr>
          <w:ilvl w:val="0"/>
          <w:numId w:val="3"/>
        </w:numPr>
        <w:kinsoku w:val="0"/>
        <w:topLinePunct/>
        <w:snapToGrid w:val="0"/>
        <w:spacing w:line="520" w:lineRule="exact"/>
        <w:rPr>
          <w:b/>
          <w:color w:val="auto"/>
          <w:sz w:val="24"/>
          <w:highlight w:val="none"/>
        </w:rPr>
      </w:pPr>
      <w:r>
        <w:rPr>
          <w:b/>
          <w:color w:val="auto"/>
          <w:sz w:val="24"/>
          <w:highlight w:val="none"/>
        </w:rPr>
        <w:t>第二次报价将在开标现场填写，磋商响应文件密封提交时只需填写首次磋商报价。</w:t>
      </w:r>
    </w:p>
    <w:p w14:paraId="417DCAFC">
      <w:pPr>
        <w:kinsoku w:val="0"/>
        <w:topLinePunct/>
        <w:snapToGrid w:val="0"/>
        <w:spacing w:line="520" w:lineRule="exact"/>
        <w:rPr>
          <w:color w:val="auto"/>
          <w:sz w:val="24"/>
          <w:highlight w:val="none"/>
        </w:rPr>
      </w:pPr>
    </w:p>
    <w:bookmarkEnd w:id="26"/>
    <w:bookmarkEnd w:id="27"/>
    <w:bookmarkEnd w:id="28"/>
    <w:p w14:paraId="188EE425">
      <w:pPr>
        <w:rPr>
          <w:color w:val="auto"/>
          <w:highlight w:val="none"/>
        </w:rPr>
      </w:pPr>
      <w:r>
        <w:rPr>
          <w:color w:val="auto"/>
          <w:highlight w:val="none"/>
        </w:rPr>
        <w:br w:type="page"/>
      </w:r>
    </w:p>
    <w:p w14:paraId="6C0F9139">
      <w:pPr>
        <w:widowControl/>
        <w:spacing w:before="100" w:beforeAutospacing="1" w:after="100" w:afterAutospacing="1"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rPr>
        <w:t>分项报价明细表（服务类）</w:t>
      </w:r>
    </w:p>
    <w:tbl>
      <w:tblPr>
        <w:tblStyle w:val="14"/>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255"/>
        <w:gridCol w:w="1625"/>
        <w:gridCol w:w="2023"/>
        <w:gridCol w:w="1365"/>
        <w:gridCol w:w="1351"/>
      </w:tblGrid>
      <w:tr w14:paraId="0AB2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857" w:type="dxa"/>
            <w:noWrap w:val="0"/>
            <w:vAlign w:val="center"/>
          </w:tcPr>
          <w:p w14:paraId="60F5EF1E">
            <w:pPr>
              <w:spacing w:line="460" w:lineRule="exact"/>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序号</w:t>
            </w:r>
          </w:p>
        </w:tc>
        <w:tc>
          <w:tcPr>
            <w:tcW w:w="2255" w:type="dxa"/>
            <w:noWrap w:val="0"/>
            <w:vAlign w:val="center"/>
          </w:tcPr>
          <w:p w14:paraId="1C070F2E">
            <w:pPr>
              <w:spacing w:line="460" w:lineRule="exact"/>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项目名称</w:t>
            </w:r>
          </w:p>
        </w:tc>
        <w:tc>
          <w:tcPr>
            <w:tcW w:w="1625" w:type="dxa"/>
            <w:noWrap w:val="0"/>
            <w:vAlign w:val="center"/>
          </w:tcPr>
          <w:p w14:paraId="682EE848">
            <w:pPr>
              <w:spacing w:line="460" w:lineRule="exact"/>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报价限价</w:t>
            </w:r>
          </w:p>
        </w:tc>
        <w:tc>
          <w:tcPr>
            <w:tcW w:w="2023" w:type="dxa"/>
            <w:noWrap w:val="0"/>
            <w:vAlign w:val="center"/>
          </w:tcPr>
          <w:p w14:paraId="582621AE">
            <w:pPr>
              <w:spacing w:line="460" w:lineRule="exact"/>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投标单价</w:t>
            </w:r>
          </w:p>
        </w:tc>
        <w:tc>
          <w:tcPr>
            <w:tcW w:w="1365" w:type="dxa"/>
            <w:noWrap w:val="0"/>
            <w:vAlign w:val="center"/>
          </w:tcPr>
          <w:p w14:paraId="5A19FFB3">
            <w:pPr>
              <w:spacing w:line="460" w:lineRule="exact"/>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数量</w:t>
            </w:r>
          </w:p>
        </w:tc>
        <w:tc>
          <w:tcPr>
            <w:tcW w:w="1351" w:type="dxa"/>
            <w:noWrap w:val="0"/>
            <w:vAlign w:val="center"/>
          </w:tcPr>
          <w:p w14:paraId="7C3F3C41">
            <w:pPr>
              <w:spacing w:line="460" w:lineRule="exact"/>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合价（元）</w:t>
            </w:r>
          </w:p>
        </w:tc>
      </w:tr>
      <w:tr w14:paraId="380E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7" w:type="dxa"/>
            <w:noWrap w:val="0"/>
            <w:vAlign w:val="center"/>
          </w:tcPr>
          <w:p w14:paraId="4F7F8255">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255" w:type="dxa"/>
            <w:noWrap w:val="0"/>
            <w:vAlign w:val="center"/>
          </w:tcPr>
          <w:p w14:paraId="4CC2294B">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技术复核部分</w:t>
            </w:r>
          </w:p>
        </w:tc>
        <w:tc>
          <w:tcPr>
            <w:tcW w:w="1625" w:type="dxa"/>
            <w:noWrap w:val="0"/>
            <w:vAlign w:val="center"/>
          </w:tcPr>
          <w:p w14:paraId="64540E85">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150000元</w:t>
            </w:r>
          </w:p>
        </w:tc>
        <w:tc>
          <w:tcPr>
            <w:tcW w:w="2023" w:type="dxa"/>
            <w:noWrap w:val="0"/>
            <w:vAlign w:val="center"/>
          </w:tcPr>
          <w:p w14:paraId="68558E33">
            <w:pPr>
              <w:spacing w:line="460" w:lineRule="exact"/>
              <w:ind w:firstLine="240" w:firstLineChars="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元</w:t>
            </w:r>
          </w:p>
        </w:tc>
        <w:tc>
          <w:tcPr>
            <w:tcW w:w="1365" w:type="dxa"/>
            <w:noWrap w:val="0"/>
            <w:vAlign w:val="center"/>
          </w:tcPr>
          <w:p w14:paraId="6B6AC9D1">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1项</w:t>
            </w:r>
          </w:p>
        </w:tc>
        <w:tc>
          <w:tcPr>
            <w:tcW w:w="1351" w:type="dxa"/>
            <w:noWrap w:val="0"/>
            <w:vAlign w:val="center"/>
          </w:tcPr>
          <w:p w14:paraId="08107564">
            <w:pPr>
              <w:spacing w:line="460" w:lineRule="exact"/>
              <w:jc w:val="center"/>
              <w:rPr>
                <w:rFonts w:hint="eastAsia" w:ascii="宋体" w:hAnsi="宋体" w:eastAsia="宋体" w:cs="宋体"/>
                <w:color w:val="auto"/>
                <w:sz w:val="24"/>
                <w:szCs w:val="24"/>
                <w:highlight w:val="none"/>
                <w:vertAlign w:val="baseline"/>
                <w:lang w:val="en-US" w:eastAsia="zh-CN"/>
              </w:rPr>
            </w:pPr>
          </w:p>
        </w:tc>
      </w:tr>
      <w:tr w14:paraId="2F7E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57" w:type="dxa"/>
            <w:noWrap w:val="0"/>
            <w:vAlign w:val="center"/>
          </w:tcPr>
          <w:p w14:paraId="0FC3842F">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255" w:type="dxa"/>
            <w:noWrap w:val="0"/>
            <w:vAlign w:val="center"/>
          </w:tcPr>
          <w:p w14:paraId="0A213F4F">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报告表技术评估部分</w:t>
            </w:r>
          </w:p>
        </w:tc>
        <w:tc>
          <w:tcPr>
            <w:tcW w:w="1625" w:type="dxa"/>
            <w:noWrap w:val="0"/>
            <w:vAlign w:val="center"/>
          </w:tcPr>
          <w:p w14:paraId="7C5034D1">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4000元/本</w:t>
            </w:r>
          </w:p>
        </w:tc>
        <w:tc>
          <w:tcPr>
            <w:tcW w:w="2023" w:type="dxa"/>
            <w:noWrap w:val="0"/>
            <w:vAlign w:val="center"/>
          </w:tcPr>
          <w:p w14:paraId="3FB00DBF">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 xml:space="preserve">   元/本</w:t>
            </w:r>
          </w:p>
        </w:tc>
        <w:tc>
          <w:tcPr>
            <w:tcW w:w="1365" w:type="dxa"/>
            <w:noWrap w:val="0"/>
            <w:vAlign w:val="center"/>
          </w:tcPr>
          <w:p w14:paraId="6928002A">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25本</w:t>
            </w:r>
          </w:p>
        </w:tc>
        <w:tc>
          <w:tcPr>
            <w:tcW w:w="1351" w:type="dxa"/>
            <w:noWrap w:val="0"/>
            <w:vAlign w:val="center"/>
          </w:tcPr>
          <w:p w14:paraId="69AC2AC0">
            <w:pPr>
              <w:spacing w:line="460" w:lineRule="exact"/>
              <w:jc w:val="center"/>
              <w:rPr>
                <w:rFonts w:hint="eastAsia" w:ascii="宋体" w:hAnsi="宋体" w:eastAsia="宋体" w:cs="宋体"/>
                <w:color w:val="auto"/>
                <w:sz w:val="24"/>
                <w:szCs w:val="24"/>
                <w:highlight w:val="none"/>
                <w:vertAlign w:val="baseline"/>
                <w:lang w:val="en-US" w:eastAsia="zh-CN"/>
              </w:rPr>
            </w:pPr>
          </w:p>
        </w:tc>
      </w:tr>
      <w:tr w14:paraId="34BD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7" w:type="dxa"/>
            <w:noWrap w:val="0"/>
            <w:vAlign w:val="center"/>
          </w:tcPr>
          <w:p w14:paraId="79A88933">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268" w:type="dxa"/>
            <w:gridSpan w:val="4"/>
            <w:noWrap w:val="0"/>
            <w:vAlign w:val="center"/>
          </w:tcPr>
          <w:p w14:paraId="06DAD2B9">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总计（元）</w:t>
            </w:r>
          </w:p>
        </w:tc>
        <w:tc>
          <w:tcPr>
            <w:tcW w:w="1351" w:type="dxa"/>
            <w:noWrap w:val="0"/>
            <w:vAlign w:val="center"/>
          </w:tcPr>
          <w:p w14:paraId="000E0D3E">
            <w:pPr>
              <w:spacing w:line="460" w:lineRule="exact"/>
              <w:jc w:val="center"/>
              <w:rPr>
                <w:rFonts w:hint="eastAsia" w:ascii="宋体" w:hAnsi="宋体" w:eastAsia="宋体" w:cs="宋体"/>
                <w:color w:val="auto"/>
                <w:sz w:val="24"/>
                <w:szCs w:val="24"/>
                <w:highlight w:val="none"/>
                <w:vertAlign w:val="baseline"/>
                <w:lang w:val="en-US" w:eastAsia="zh-CN"/>
              </w:rPr>
            </w:pPr>
          </w:p>
        </w:tc>
      </w:tr>
    </w:tbl>
    <w:p w14:paraId="0310523B">
      <w:pPr>
        <w:spacing w:line="360" w:lineRule="auto"/>
        <w:rPr>
          <w:rFonts w:hint="eastAsia" w:ascii="宋体" w:hAnsi="宋体" w:eastAsia="宋体" w:cs="宋体"/>
          <w:color w:val="auto"/>
          <w:kern w:val="0"/>
          <w:sz w:val="28"/>
          <w:szCs w:val="28"/>
          <w:highlight w:val="none"/>
        </w:rPr>
      </w:pPr>
    </w:p>
    <w:p w14:paraId="1CC4C1B9">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填写说明：</w:t>
      </w:r>
    </w:p>
    <w:p w14:paraId="251E1417">
      <w:pPr>
        <w:numPr>
          <w:ilvl w:val="0"/>
          <w:numId w:val="0"/>
        </w:numPr>
        <w:spacing w:line="360" w:lineRule="auto"/>
        <w:ind w:firstLine="280" w:firstLineChars="1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1.投标单价不得高于对应的投标限价，</w:t>
      </w:r>
      <w:r>
        <w:rPr>
          <w:rFonts w:hint="eastAsia" w:ascii="宋体" w:hAnsi="宋体" w:eastAsia="宋体" w:cs="宋体"/>
          <w:color w:val="auto"/>
          <w:sz w:val="28"/>
          <w:szCs w:val="28"/>
          <w:highlight w:val="none"/>
          <w:lang w:val="en-US" w:eastAsia="zh-CN"/>
        </w:rPr>
        <w:t>①技术复核部分总价包干，结算价为其对应的投标合价；②报告表技术评估部分：全年预估25本，最终以实际发生量为准，结算单价按其对应的投标单价执行；</w:t>
      </w:r>
    </w:p>
    <w:p w14:paraId="7E47C8F5">
      <w:pPr>
        <w:spacing w:line="360" w:lineRule="auto"/>
        <w:jc w:val="both"/>
        <w:rPr>
          <w:rFonts w:hint="eastAsia" w:ascii="宋体" w:hAnsi="宋体" w:eastAsia="宋体" w:cs="宋体"/>
          <w:color w:val="auto"/>
          <w:kern w:val="0"/>
          <w:sz w:val="28"/>
          <w:szCs w:val="28"/>
          <w:highlight w:val="none"/>
          <w:lang w:val="en-US" w:eastAsia="zh-CN" w:bidi="ar"/>
        </w:rPr>
      </w:pPr>
    </w:p>
    <w:p w14:paraId="54C94FC8">
      <w:pPr>
        <w:spacing w:line="360" w:lineRule="auto"/>
        <w:ind w:firstLine="3080" w:firstLineChars="1100"/>
        <w:jc w:val="right"/>
        <w:rPr>
          <w:rFonts w:hint="eastAsia" w:ascii="宋体" w:hAnsi="宋体" w:eastAsia="宋体" w:cs="宋体"/>
          <w:color w:val="auto"/>
          <w:kern w:val="0"/>
          <w:sz w:val="28"/>
          <w:szCs w:val="28"/>
          <w:highlight w:val="none"/>
          <w:lang w:val="zh-CN" w:bidi="ar"/>
        </w:rPr>
      </w:pPr>
    </w:p>
    <w:p w14:paraId="791B462C">
      <w:pPr>
        <w:spacing w:line="360" w:lineRule="auto"/>
        <w:ind w:firstLine="3080" w:firstLineChars="1100"/>
        <w:jc w:val="right"/>
        <w:rPr>
          <w:rFonts w:hint="eastAsia" w:ascii="宋体" w:hAnsi="宋体" w:eastAsia="宋体" w:cs="宋体"/>
          <w:color w:val="auto"/>
          <w:kern w:val="0"/>
          <w:sz w:val="28"/>
          <w:szCs w:val="28"/>
          <w:highlight w:val="none"/>
          <w:u w:val="single"/>
          <w:lang w:val="zh-CN"/>
        </w:rPr>
      </w:pPr>
      <w:r>
        <w:rPr>
          <w:rFonts w:hint="eastAsia" w:ascii="宋体" w:hAnsi="宋体" w:eastAsia="宋体" w:cs="宋体"/>
          <w:color w:val="auto"/>
          <w:kern w:val="0"/>
          <w:sz w:val="28"/>
          <w:szCs w:val="28"/>
          <w:highlight w:val="none"/>
          <w:lang w:val="zh-CN" w:bidi="ar"/>
        </w:rPr>
        <w:t>投标供应商全称(盖公章)：</w:t>
      </w:r>
    </w:p>
    <w:p w14:paraId="3BF26754">
      <w:pPr>
        <w:spacing w:line="360" w:lineRule="auto"/>
        <w:ind w:firstLine="3080" w:firstLineChars="1100"/>
        <w:jc w:val="right"/>
        <w:rPr>
          <w:rFonts w:hint="eastAsia" w:ascii="宋体" w:hAnsi="宋体" w:eastAsia="宋体" w:cs="宋体"/>
          <w:color w:val="auto"/>
          <w:sz w:val="28"/>
          <w:szCs w:val="28"/>
          <w:highlight w:val="none"/>
          <w:u w:val="single"/>
          <w:lang w:val="zh-CN"/>
        </w:rPr>
      </w:pPr>
      <w:r>
        <w:rPr>
          <w:rFonts w:hint="eastAsia" w:ascii="宋体" w:hAnsi="宋体" w:eastAsia="宋体" w:cs="宋体"/>
          <w:color w:val="auto"/>
          <w:kern w:val="0"/>
          <w:sz w:val="28"/>
          <w:szCs w:val="28"/>
          <w:highlight w:val="none"/>
          <w:lang w:val="zh-CN" w:bidi="ar"/>
        </w:rPr>
        <w:t>法定代表人（签字或盖章）：</w:t>
      </w:r>
    </w:p>
    <w:p w14:paraId="3B837F00">
      <w:pPr>
        <w:spacing w:line="360" w:lineRule="auto"/>
        <w:ind w:firstLine="3080" w:firstLineChars="1100"/>
        <w:jc w:val="righ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bidi="ar"/>
        </w:rPr>
        <w:t>时间：  年  月   日</w:t>
      </w:r>
    </w:p>
    <w:p w14:paraId="4EAC2F4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4586F8">
      <w:pPr>
        <w:adjustRightInd w:val="0"/>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10</w:t>
      </w:r>
      <w:r>
        <w:rPr>
          <w:rFonts w:hint="eastAsia" w:ascii="宋体" w:hAnsi="宋体" w:cs="宋体"/>
          <w:b/>
          <w:color w:val="auto"/>
          <w:sz w:val="30"/>
          <w:szCs w:val="30"/>
          <w:highlight w:val="none"/>
        </w:rPr>
        <w:t>：中小企业声明函（工程、服务）</w:t>
      </w:r>
    </w:p>
    <w:p w14:paraId="242EA491">
      <w:pPr>
        <w:adjustRightInd w:val="0"/>
        <w:snapToGri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 （联合体）参加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5B66C2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lang w:val="en-US" w:eastAsia="zh-CN"/>
        </w:rPr>
        <w:t>其他未列明行业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 xml:space="preserve">； </w:t>
      </w:r>
    </w:p>
    <w:p w14:paraId="54F03D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lang w:val="en-US" w:eastAsia="zh-CN"/>
        </w:rPr>
        <w:t>其他未列明行业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70B5B3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7B6CF1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EF08A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本企业对上述声明内容的真实性负责。如有虚假，将依法承担相应责任。 </w:t>
      </w:r>
    </w:p>
    <w:p w14:paraId="62DBFB3A">
      <w:pPr>
        <w:adjustRightInd w:val="0"/>
        <w:snapToGrid w:val="0"/>
        <w:spacing w:line="360" w:lineRule="auto"/>
        <w:ind w:firstLine="480" w:firstLineChars="200"/>
        <w:rPr>
          <w:rFonts w:ascii="宋体" w:hAnsi="宋体" w:cs="宋体"/>
          <w:color w:val="auto"/>
          <w:sz w:val="24"/>
          <w:highlight w:val="none"/>
        </w:rPr>
      </w:pPr>
    </w:p>
    <w:p w14:paraId="081B6C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投标人（盖章）： </w:t>
      </w:r>
    </w:p>
    <w:p w14:paraId="0A889897">
      <w:pPr>
        <w:adjustRightInd w:val="0"/>
        <w:snapToGrid w:val="0"/>
        <w:spacing w:line="360" w:lineRule="auto"/>
        <w:ind w:firstLine="480" w:firstLineChars="200"/>
        <w:rPr>
          <w:rFonts w:ascii="宋体" w:hAnsi="宋体" w:cs="宋体"/>
          <w:color w:val="auto"/>
          <w:sz w:val="24"/>
          <w:highlight w:val="none"/>
        </w:rPr>
      </w:pPr>
    </w:p>
    <w:p w14:paraId="7C0406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日 期： </w:t>
      </w:r>
    </w:p>
    <w:p w14:paraId="077786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从业人员、营业收入、资产总额填报上一年度数据，无上一年度数据的新成立企业可不填报。</w:t>
      </w:r>
    </w:p>
    <w:p w14:paraId="12FDD9ED">
      <w:pPr>
        <w:spacing w:line="560" w:lineRule="exact"/>
        <w:rPr>
          <w:rFonts w:ascii="宋体" w:hAnsi="宋体" w:cs="宋体"/>
          <w:b/>
          <w:bCs/>
          <w:color w:val="auto"/>
          <w:sz w:val="32"/>
          <w:szCs w:val="32"/>
          <w:highlight w:val="none"/>
        </w:rPr>
      </w:pPr>
    </w:p>
    <w:p w14:paraId="6655B6BA">
      <w:pPr>
        <w:widowControl/>
        <w:adjustRightInd w:val="0"/>
        <w:snapToGrid w:val="0"/>
        <w:spacing w:line="400" w:lineRule="exact"/>
        <w:ind w:left="141" w:leftChars="67"/>
        <w:rPr>
          <w:rFonts w:ascii="宋体" w:hAnsi="宋体" w:cs="宋体"/>
          <w:color w:val="auto"/>
          <w:szCs w:val="21"/>
          <w:highlight w:val="none"/>
        </w:rPr>
      </w:pPr>
    </w:p>
    <w:p w14:paraId="76299A95">
      <w:pPr>
        <w:rPr>
          <w:color w:val="auto"/>
          <w:highlight w:val="none"/>
        </w:rPr>
      </w:pPr>
    </w:p>
    <w:sectPr>
      <w:footerReference r:id="rId10" w:type="default"/>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1BF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EFD">
    <w:pPr>
      <w:pStyle w:val="8"/>
      <w:jc w:val="center"/>
    </w:pPr>
    <w:r>
      <w:fldChar w:fldCharType="begin"/>
    </w:r>
    <w:r>
      <w:instrText xml:space="preserve"> PAGE   \* MERGEFORMAT </w:instrText>
    </w:r>
    <w:r>
      <w:fldChar w:fldCharType="separate"/>
    </w:r>
    <w:r>
      <w:rPr>
        <w:lang w:val="zh-CN"/>
      </w:rPr>
      <w:t>54</w:t>
    </w:r>
    <w:r>
      <w:rPr>
        <w:lang w:val="zh-CN"/>
      </w:rPr>
      <w:fldChar w:fldCharType="end"/>
    </w:r>
  </w:p>
  <w:p w14:paraId="1576E22F">
    <w:pPr>
      <w:pStyle w:val="8"/>
    </w:pPr>
  </w:p>
  <w:p w14:paraId="7C8FA6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6C2D">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2042F635">
    <w:pPr>
      <w:pStyle w:val="8"/>
    </w:pPr>
  </w:p>
  <w:p w14:paraId="47406D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621E">
    <w:pPr>
      <w:pStyle w:val="8"/>
      <w:ind w:firstLine="90" w:firstLineChars="5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868D6D">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79868D6D">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CE3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811486">
                          <w:pPr>
                            <w:pStyle w:val="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811486">
                    <w:pPr>
                      <w:pStyle w:val="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00C7">
    <w:pPr>
      <w:tabs>
        <w:tab w:val="left" w:pos="6300"/>
      </w:tabs>
      <w:spacing w:line="300" w:lineRule="auto"/>
    </w:pPr>
  </w:p>
  <w:p w14:paraId="1721EF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DAB">
    <w:pPr>
      <w:tabs>
        <w:tab w:val="left" w:pos="6300"/>
      </w:tabs>
      <w:spacing w:line="300" w:lineRule="auto"/>
    </w:pPr>
  </w:p>
  <w:p w14:paraId="78A3AB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72BC">
    <w:pPr>
      <w:pStyle w:val="9"/>
      <w:pBdr>
        <w:bottom w:val="none" w:color="auto" w:sz="0" w:space="1"/>
      </w:pBdr>
      <w:tabs>
        <w:tab w:val="left" w:pos="1046"/>
      </w:tabs>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583D0"/>
    <w:multiLevelType w:val="singleLevel"/>
    <w:tmpl w:val="C9C583D0"/>
    <w:lvl w:ilvl="0" w:tentative="0">
      <w:start w:val="5"/>
      <w:numFmt w:val="decimal"/>
      <w:lvlText w:val="%1."/>
      <w:lvlJc w:val="left"/>
      <w:pPr>
        <w:tabs>
          <w:tab w:val="left" w:pos="312"/>
        </w:tabs>
      </w:p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A977117"/>
    <w:multiLevelType w:val="multilevel"/>
    <w:tmpl w:val="0A977117"/>
    <w:lvl w:ilvl="0" w:tentative="0">
      <w:start w:val="1"/>
      <w:numFmt w:val="japaneseCounting"/>
      <w:lvlText w:val="第%1条"/>
      <w:lvlJc w:val="left"/>
      <w:pPr>
        <w:ind w:left="1452" w:hanging="97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3184"/>
    <w:rsid w:val="03AF26E5"/>
    <w:rsid w:val="04A46CA2"/>
    <w:rsid w:val="09481618"/>
    <w:rsid w:val="0D791B3C"/>
    <w:rsid w:val="106E0877"/>
    <w:rsid w:val="10C0598E"/>
    <w:rsid w:val="110916B7"/>
    <w:rsid w:val="117B29B2"/>
    <w:rsid w:val="12ED4716"/>
    <w:rsid w:val="14B834E3"/>
    <w:rsid w:val="15D649A0"/>
    <w:rsid w:val="15DB5F87"/>
    <w:rsid w:val="16335B10"/>
    <w:rsid w:val="189E626F"/>
    <w:rsid w:val="1B0A14BE"/>
    <w:rsid w:val="1B6277D1"/>
    <w:rsid w:val="21BB1F9D"/>
    <w:rsid w:val="29A4029F"/>
    <w:rsid w:val="2EED4C20"/>
    <w:rsid w:val="31CB0781"/>
    <w:rsid w:val="35D72860"/>
    <w:rsid w:val="41067DC3"/>
    <w:rsid w:val="426C60B8"/>
    <w:rsid w:val="465C539B"/>
    <w:rsid w:val="47237A09"/>
    <w:rsid w:val="474D776F"/>
    <w:rsid w:val="4BB978EE"/>
    <w:rsid w:val="4FFC63AE"/>
    <w:rsid w:val="505160DF"/>
    <w:rsid w:val="559B3FF3"/>
    <w:rsid w:val="56282D9D"/>
    <w:rsid w:val="59E34FAC"/>
    <w:rsid w:val="5EE642BE"/>
    <w:rsid w:val="5F487ACD"/>
    <w:rsid w:val="61112140"/>
    <w:rsid w:val="645B1A8B"/>
    <w:rsid w:val="69C40143"/>
    <w:rsid w:val="6F8712DC"/>
    <w:rsid w:val="73FE682B"/>
    <w:rsid w:val="75190B0F"/>
    <w:rsid w:val="7D0F15EA"/>
    <w:rsid w:val="7EAB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rFonts w:eastAsia="仿宋"/>
      <w:b/>
      <w:bCs/>
      <w:kern w:val="44"/>
      <w:sz w:val="28"/>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4">
    <w:name w:val="annotation text"/>
    <w:basedOn w:val="1"/>
    <w:unhideWhenUsed/>
    <w:qFormat/>
    <w:uiPriority w:val="99"/>
    <w:pPr>
      <w:jc w:val="left"/>
    </w:pPr>
  </w:style>
  <w:style w:type="paragraph" w:styleId="5">
    <w:name w:val="Body Text"/>
    <w:basedOn w:val="1"/>
    <w:next w:val="1"/>
    <w:qFormat/>
    <w:uiPriority w:val="99"/>
    <w:rPr>
      <w:rFonts w:ascii="Calibri" w:hAnsi="Calibri"/>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next w:val="3"/>
    <w:qFormat/>
    <w:uiPriority w:val="0"/>
    <w:pPr>
      <w:spacing w:line="520" w:lineRule="exact"/>
      <w:ind w:firstLine="539" w:firstLineChars="184"/>
    </w:pPr>
    <w:rPr>
      <w:rFonts w:ascii="宋体"/>
      <w:b/>
      <w:spacing w:val="6"/>
      <w:sz w:val="28"/>
    </w:rPr>
  </w:style>
  <w:style w:type="paragraph" w:styleId="11">
    <w:name w:val="Body Text First Indent"/>
    <w:basedOn w:val="5"/>
    <w:next w:val="12"/>
    <w:qFormat/>
    <w:uiPriority w:val="99"/>
    <w:pPr>
      <w:spacing w:line="360" w:lineRule="auto"/>
      <w:ind w:firstLine="200" w:firstLineChars="200"/>
    </w:pPr>
    <w:rPr>
      <w:rFonts w:ascii="Calibri" w:hAnsi="Calibri"/>
    </w:rPr>
  </w:style>
  <w:style w:type="paragraph" w:styleId="12">
    <w:name w:val="Body Text First Indent 2"/>
    <w:basedOn w:val="6"/>
    <w:next w:val="10"/>
    <w:unhideWhenUsed/>
    <w:qFormat/>
    <w:uiPriority w:val="99"/>
    <w:pPr>
      <w:spacing w:after="120" w:line="240" w:lineRule="auto"/>
      <w:ind w:left="420" w:leftChars="200" w:firstLine="200" w:firstLineChars="200"/>
    </w:pPr>
    <w:rPr>
      <w:kern w:val="2"/>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Plain Text"/>
    <w:basedOn w:val="1"/>
    <w:qFormat/>
    <w:uiPriority w:val="0"/>
    <w:rPr>
      <w:rFonts w:ascii="宋体" w:hAnsi="Courier New" w:cs="Courier New"/>
      <w:kern w:val="2"/>
      <w:sz w:val="21"/>
      <w:szCs w:val="21"/>
    </w:rPr>
  </w:style>
  <w:style w:type="paragraph" w:customStyle="1" w:styleId="19">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20">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10276</Words>
  <Characters>10532</Characters>
  <Lines>0</Lines>
  <Paragraphs>0</Paragraphs>
  <TotalTime>0</TotalTime>
  <ScaleCrop>false</ScaleCrop>
  <LinksUpToDate>false</LinksUpToDate>
  <CharactersWithSpaces>10601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2025-06-24T01:49:00Z</dcterms:created>
  <dc:creator>Administrator</dc:creator>
  <cp:lastModifiedBy>猪猪。</cp:lastModifiedBy>
  <dcterms:modified xsi:type="dcterms:W3CDTF">2026-04-23T09:02:04Z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A5B70A3362CA47CFBFB803B8FB741AE4_13</vt:lpwstr>
  </property>
  <property fmtid="{D5CDD505-2E9C-101B-9397-08002B2CF9AE}" pid="4" name="KSOTemplateDocerSaveRecord">
    <vt:lpwstr>eyJoZGlkIjoiNTVkMTk0NDllYWQwOTYyMTMxMWRiNjI1MTRjOGFjNDgiLCJ1c2VySWQiOiIxMDc1NjAyNjIzIn0=</vt:lpwstr>
  </property>
</Properties>
</file>