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1"/>
        <w:tblpPr w:horzAnchor="margin" w:tblpXSpec="center" w:tblpYSpec="top"/>
        <w:tblOverlap w:val="never"/>
        <w:tblW w:w="0" w:type="auto"/>
        <w:tblInd w:w="0" w:type="dxa"/>
        <w:tblLayout w:type="fixed"/>
        <w:tblCellMar>
          <w:top w:w="0" w:type="dxa"/>
          <w:left w:w="108" w:type="dxa"/>
          <w:bottom w:w="0" w:type="dxa"/>
          <w:right w:w="108" w:type="dxa"/>
        </w:tblCellMar>
      </w:tblPr>
      <w:tblGrid>
        <w:gridCol w:w="8844"/>
      </w:tblGrid>
      <w:tr>
        <w:tblPrEx>
          <w:tblCellMar>
            <w:top w:w="0" w:type="dxa"/>
            <w:left w:w="108" w:type="dxa"/>
            <w:bottom w:w="0" w:type="dxa"/>
            <w:right w:w="108" w:type="dxa"/>
          </w:tblCellMar>
        </w:tblPrEx>
        <w:tc>
          <w:tcPr>
            <w:tcW w:w="8844" w:type="dxa"/>
            <w:tcMar>
              <w:left w:w="0" w:type="dxa"/>
              <w:right w:w="0" w:type="dxa"/>
            </w:tcMar>
          </w:tcPr>
          <w:p>
            <w:pPr>
              <w:pStyle w:val="20"/>
              <w:spacing w:line="600" w:lineRule="exact"/>
              <w:jc w:val="both"/>
              <w:rPr>
                <w:rFonts w:ascii="Times New Roman"/>
                <w:color w:val="000000"/>
                <w:sz w:val="32"/>
              </w:rPr>
            </w:pPr>
          </w:p>
        </w:tc>
      </w:tr>
      <w:tr>
        <w:tblPrEx>
          <w:tblCellMar>
            <w:top w:w="0" w:type="dxa"/>
            <w:left w:w="108" w:type="dxa"/>
            <w:bottom w:w="0" w:type="dxa"/>
            <w:right w:w="108" w:type="dxa"/>
          </w:tblCellMar>
        </w:tblPrEx>
        <w:tc>
          <w:tcPr>
            <w:tcW w:w="8844" w:type="dxa"/>
            <w:tcMar>
              <w:left w:w="0" w:type="dxa"/>
              <w:right w:w="0" w:type="dxa"/>
            </w:tcMar>
          </w:tcPr>
          <w:p>
            <w:pPr>
              <w:pStyle w:val="20"/>
              <w:spacing w:line="600" w:lineRule="exact"/>
              <w:jc w:val="both"/>
              <w:rPr>
                <w:rFonts w:ascii="Times New Roman"/>
                <w:color w:val="000000"/>
                <w:sz w:val="32"/>
              </w:rPr>
            </w:pPr>
          </w:p>
        </w:tc>
      </w:tr>
      <w:tr>
        <w:tblPrEx>
          <w:tblCellMar>
            <w:top w:w="0" w:type="dxa"/>
            <w:left w:w="108" w:type="dxa"/>
            <w:bottom w:w="0" w:type="dxa"/>
            <w:right w:w="108" w:type="dxa"/>
          </w:tblCellMar>
        </w:tblPrEx>
        <w:tc>
          <w:tcPr>
            <w:tcW w:w="8844" w:type="dxa"/>
            <w:tcMar>
              <w:left w:w="0" w:type="dxa"/>
              <w:right w:w="0" w:type="dxa"/>
            </w:tcMar>
          </w:tcPr>
          <w:p>
            <w:pPr>
              <w:pStyle w:val="20"/>
              <w:spacing w:line="600" w:lineRule="exact"/>
              <w:jc w:val="both"/>
              <w:rPr>
                <w:rFonts w:ascii="Times New Roman"/>
                <w:color w:val="000000"/>
                <w:sz w:val="32"/>
              </w:rPr>
            </w:pPr>
          </w:p>
        </w:tc>
      </w:tr>
      <w:tr>
        <w:tblPrEx>
          <w:tblCellMar>
            <w:top w:w="0" w:type="dxa"/>
            <w:left w:w="108" w:type="dxa"/>
            <w:bottom w:w="0" w:type="dxa"/>
            <w:right w:w="108" w:type="dxa"/>
          </w:tblCellMar>
        </w:tblPrEx>
        <w:tc>
          <w:tcPr>
            <w:tcW w:w="8844" w:type="dxa"/>
            <w:tcMar>
              <w:left w:w="0" w:type="dxa"/>
              <w:right w:w="0" w:type="dxa"/>
            </w:tcMar>
          </w:tcPr>
          <w:p>
            <w:pPr>
              <w:pStyle w:val="21"/>
              <w:spacing w:before="120" w:after="300" w:line="1300" w:lineRule="atLeast"/>
              <w:rPr>
                <w:rFonts w:ascii="Times New Roman" w:eastAsia="方正小标宋_GBK"/>
                <w:w w:val="50"/>
                <w:sz w:val="130"/>
                <w:szCs w:val="130"/>
              </w:rPr>
            </w:pPr>
            <w:r>
              <w:rPr>
                <w:rFonts w:hint="eastAsia" w:ascii="Times New Roman" w:eastAsia="方正小标宋_GBK"/>
                <w:w w:val="50"/>
                <w:sz w:val="130"/>
                <w:szCs w:val="130"/>
              </w:rPr>
              <w:t>南通市生态环境局文件</w:t>
            </w:r>
          </w:p>
        </w:tc>
      </w:tr>
      <w:tr>
        <w:tblPrEx>
          <w:tblCellMar>
            <w:top w:w="0" w:type="dxa"/>
            <w:left w:w="108" w:type="dxa"/>
            <w:bottom w:w="0" w:type="dxa"/>
            <w:right w:w="108" w:type="dxa"/>
          </w:tblCellMar>
        </w:tblPrEx>
        <w:tc>
          <w:tcPr>
            <w:tcW w:w="8844" w:type="dxa"/>
            <w:tcMar>
              <w:left w:w="0" w:type="dxa"/>
              <w:right w:w="0" w:type="dxa"/>
            </w:tcMar>
          </w:tcPr>
          <w:p>
            <w:pPr>
              <w:tabs>
                <w:tab w:val="left" w:pos="8364"/>
              </w:tabs>
              <w:jc w:val="center"/>
              <w:rPr>
                <w:rFonts w:eastAsia="仿宋"/>
              </w:rPr>
            </w:pPr>
            <w:bookmarkStart w:id="4" w:name="_GoBack"/>
            <w:r>
              <w:rPr>
                <w:rFonts w:eastAsia="仿宋"/>
                <w:sz w:val="32"/>
                <w:szCs w:val="32"/>
              </w:rPr>
              <w:t>通环</w:t>
            </w:r>
            <w:r>
              <w:rPr>
                <w:rFonts w:hint="eastAsia" w:eastAsia="仿宋"/>
                <w:sz w:val="32"/>
                <w:szCs w:val="32"/>
              </w:rPr>
              <w:t>验</w:t>
            </w:r>
            <w:r>
              <w:rPr>
                <w:rFonts w:eastAsia="仿宋"/>
                <w:sz w:val="32"/>
                <w:szCs w:val="32"/>
              </w:rPr>
              <w:t>〔202</w:t>
            </w:r>
            <w:r>
              <w:rPr>
                <w:rFonts w:hint="eastAsia" w:eastAsia="仿宋"/>
                <w:sz w:val="32"/>
                <w:szCs w:val="32"/>
              </w:rPr>
              <w:t>3</w:t>
            </w:r>
            <w:r>
              <w:rPr>
                <w:rFonts w:eastAsia="仿宋"/>
                <w:sz w:val="32"/>
                <w:szCs w:val="32"/>
              </w:rPr>
              <w:t>〕</w:t>
            </w:r>
            <w:r>
              <w:rPr>
                <w:rFonts w:hint="eastAsia" w:eastAsia="仿宋"/>
                <w:sz w:val="32"/>
                <w:szCs w:val="32"/>
              </w:rPr>
              <w:t>3</w:t>
            </w:r>
            <w:r>
              <w:rPr>
                <w:rFonts w:eastAsia="仿宋"/>
                <w:sz w:val="32"/>
                <w:szCs w:val="32"/>
              </w:rPr>
              <w:t>号</w:t>
            </w:r>
            <w:bookmarkEnd w:id="4"/>
          </w:p>
        </w:tc>
      </w:tr>
      <w:tr>
        <w:tblPrEx>
          <w:tblCellMar>
            <w:top w:w="0" w:type="dxa"/>
            <w:left w:w="108" w:type="dxa"/>
            <w:bottom w:w="0" w:type="dxa"/>
            <w:right w:w="108" w:type="dxa"/>
          </w:tblCellMar>
        </w:tblPrEx>
        <w:tc>
          <w:tcPr>
            <w:tcW w:w="8844" w:type="dxa"/>
            <w:tcMar>
              <w:left w:w="0" w:type="dxa"/>
              <w:right w:w="0" w:type="dxa"/>
            </w:tcMar>
          </w:tcPr>
          <w:p>
            <w:pPr>
              <w:pStyle w:val="22"/>
              <w:snapToGrid w:val="0"/>
              <w:spacing w:after="840" w:line="100" w:lineRule="atLeast"/>
              <w:ind w:left="-57" w:right="-57"/>
              <w:rPr>
                <w:rFonts w:ascii="Times New Roman"/>
              </w:rPr>
            </w:pPr>
            <w:bookmarkStart w:id="0" w:name="_1085810014"/>
            <w:bookmarkEnd w:id="0"/>
            <w:bookmarkStart w:id="1" w:name="_1082439055"/>
            <w:bookmarkEnd w:id="1"/>
            <w:bookmarkStart w:id="2" w:name="_1082439050"/>
            <w:bookmarkEnd w:id="2"/>
            <w:bookmarkStart w:id="3" w:name="_1085810142"/>
            <w:bookmarkEnd w:id="3"/>
            <w:r>
              <w:rPr>
                <w:rFonts w:ascii="Times New Roman"/>
              </w:rPr>
              <w:object>
                <v:shape id="_x0000_i1025" o:spt="75" type="#_x0000_t75" style="height:6.6pt;width:447.5pt;" o:ole="t" fillcolor="#ACA899" filled="f" o:preferrelative="t" stroked="f" coordsize="21600,21600">
                  <v:path/>
                  <v:fill on="f" focussize="0,0"/>
                  <v:stroke on="f" joinstyle="miter"/>
                  <v:imagedata r:id="rId6" o:title=""/>
                  <o:lock v:ext="edit" aspectratio="t"/>
                  <w10:wrap type="none"/>
                  <w10:anchorlock/>
                </v:shape>
                <o:OLEObject Type="Embed" ProgID="Word.Picture.8" ShapeID="_x0000_i1025" DrawAspect="Content" ObjectID="_1468075725" r:id="rId5">
                  <o:LockedField>false</o:LockedField>
                </o:OLEObject>
              </w:object>
            </w:r>
          </w:p>
        </w:tc>
      </w:tr>
    </w:tbl>
    <w:p>
      <w:pPr>
        <w:adjustRightInd w:val="0"/>
        <w:snapToGrid w:val="0"/>
        <w:spacing w:line="560" w:lineRule="exact"/>
        <w:jc w:val="center"/>
        <w:rPr>
          <w:rFonts w:eastAsia="方正小标宋_GBK"/>
          <w:sz w:val="44"/>
          <w:szCs w:val="44"/>
        </w:rPr>
      </w:pPr>
      <w:r>
        <w:rPr>
          <w:rFonts w:hint="eastAsia" w:eastAsia="方正小标宋_GBK"/>
          <w:sz w:val="44"/>
          <w:szCs w:val="44"/>
        </w:rPr>
        <w:t>南通市生态环境局关于江苏如东H4#</w:t>
      </w:r>
    </w:p>
    <w:p>
      <w:pPr>
        <w:adjustRightInd w:val="0"/>
        <w:snapToGrid w:val="0"/>
        <w:spacing w:line="560" w:lineRule="exact"/>
        <w:jc w:val="center"/>
        <w:rPr>
          <w:rFonts w:eastAsia="方正小标宋_GBK"/>
          <w:sz w:val="44"/>
          <w:szCs w:val="44"/>
        </w:rPr>
      </w:pPr>
      <w:r>
        <w:rPr>
          <w:rFonts w:hint="eastAsia" w:eastAsia="方正小标宋_GBK"/>
          <w:sz w:val="44"/>
          <w:szCs w:val="44"/>
        </w:rPr>
        <w:t>海上风电场项目环境保护设施</w:t>
      </w:r>
    </w:p>
    <w:p>
      <w:pPr>
        <w:adjustRightInd w:val="0"/>
        <w:snapToGrid w:val="0"/>
        <w:spacing w:line="560" w:lineRule="exact"/>
        <w:jc w:val="center"/>
        <w:rPr>
          <w:rFonts w:eastAsia="方正小标宋_GBK"/>
          <w:sz w:val="44"/>
          <w:szCs w:val="44"/>
        </w:rPr>
      </w:pPr>
      <w:r>
        <w:rPr>
          <w:rFonts w:hint="eastAsia" w:eastAsia="方正小标宋_GBK"/>
          <w:sz w:val="44"/>
          <w:szCs w:val="44"/>
        </w:rPr>
        <w:t>竣工验收意见的函</w:t>
      </w:r>
    </w:p>
    <w:p>
      <w:pPr>
        <w:adjustRightInd w:val="0"/>
        <w:snapToGrid w:val="0"/>
        <w:spacing w:line="590" w:lineRule="exact"/>
        <w:rPr>
          <w:rFonts w:eastAsia="华文仿宋"/>
          <w:bCs/>
          <w:sz w:val="32"/>
          <w:szCs w:val="32"/>
        </w:rPr>
      </w:pPr>
    </w:p>
    <w:p>
      <w:pPr>
        <w:adjustRightInd w:val="0"/>
        <w:snapToGrid w:val="0"/>
        <w:spacing w:line="590" w:lineRule="atLeast"/>
        <w:rPr>
          <w:rFonts w:eastAsia="方正仿宋_GBK"/>
          <w:bCs/>
          <w:sz w:val="32"/>
          <w:szCs w:val="32"/>
        </w:rPr>
      </w:pPr>
      <w:r>
        <w:rPr>
          <w:rFonts w:hint="eastAsia" w:eastAsia="方正仿宋_GBK"/>
          <w:bCs/>
          <w:sz w:val="32"/>
          <w:szCs w:val="32"/>
        </w:rPr>
        <w:t>如东和风海上风力发电有限公司：</w:t>
      </w:r>
    </w:p>
    <w:p>
      <w:pPr>
        <w:adjustRightInd w:val="0"/>
        <w:snapToGrid w:val="0"/>
        <w:spacing w:line="590" w:lineRule="atLeast"/>
        <w:ind w:firstLine="640" w:firstLineChars="200"/>
        <w:rPr>
          <w:rFonts w:eastAsia="方正仿宋_GBK"/>
          <w:bCs/>
          <w:sz w:val="32"/>
          <w:szCs w:val="32"/>
        </w:rPr>
      </w:pPr>
      <w:r>
        <w:rPr>
          <w:rFonts w:hint="eastAsia" w:eastAsia="方正仿宋_GBK"/>
          <w:bCs/>
          <w:sz w:val="32"/>
          <w:szCs w:val="32"/>
        </w:rPr>
        <w:t>《江苏如东H4#海上风电场项目竣工环境保护验收调查报告》（以下简称《调查报告》）等材料收悉。根据《省生态环境厅关于委托江苏如东H4#海上风电场等项目环境保护设施验收的函》（苏环便函〔2023〕434号），我局组织相关单位对该项目进行了竣工环境保护设施现场检查。经研究，现提出如下意见：</w:t>
      </w:r>
    </w:p>
    <w:p>
      <w:pPr>
        <w:adjustRightInd w:val="0"/>
        <w:snapToGrid w:val="0"/>
        <w:spacing w:line="590" w:lineRule="atLeast"/>
        <w:ind w:firstLine="640" w:firstLineChars="20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一、工程建设基本情况</w:t>
      </w:r>
    </w:p>
    <w:p>
      <w:pPr>
        <w:adjustRightInd w:val="0"/>
        <w:snapToGrid w:val="0"/>
        <w:spacing w:line="590" w:lineRule="atLeast"/>
        <w:ind w:firstLine="640" w:firstLineChars="200"/>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（一）项目概况</w:t>
      </w:r>
    </w:p>
    <w:p>
      <w:pPr>
        <w:adjustRightInd w:val="0"/>
        <w:snapToGrid w:val="0"/>
        <w:spacing w:line="570" w:lineRule="exact"/>
        <w:ind w:firstLine="640" w:firstLineChars="200"/>
        <w:rPr>
          <w:rFonts w:eastAsia="方正仿宋_GBK"/>
          <w:bCs/>
          <w:sz w:val="32"/>
          <w:szCs w:val="32"/>
        </w:rPr>
      </w:pPr>
      <w:r>
        <w:rPr>
          <w:rFonts w:hint="eastAsia" w:eastAsia="方正仿宋_GBK"/>
          <w:bCs/>
          <w:sz w:val="32"/>
          <w:szCs w:val="32"/>
        </w:rPr>
        <w:t>江苏如东H4#海上风电场位于南通市如东海域，在洋口港水域港界北侧，河豚沙西部，场区中心离岸距离33km。主要工程建设内容为：100台单机容量4MW的风力发电机组，总长279.2km的海底电缆以及1座海上升压站。</w:t>
      </w:r>
    </w:p>
    <w:p>
      <w:pPr>
        <w:adjustRightInd w:val="0"/>
        <w:snapToGrid w:val="0"/>
        <w:spacing w:line="570" w:lineRule="exact"/>
        <w:ind w:firstLine="640" w:firstLineChars="200"/>
        <w:rPr>
          <w:rFonts w:eastAsia="方正仿宋_GBK"/>
          <w:bCs/>
          <w:sz w:val="32"/>
          <w:szCs w:val="32"/>
        </w:rPr>
      </w:pPr>
      <w:r>
        <w:rPr>
          <w:rFonts w:hint="eastAsia" w:eastAsia="方正仿宋_GBK"/>
          <w:bCs/>
          <w:sz w:val="32"/>
          <w:szCs w:val="32"/>
        </w:rPr>
        <w:t>本项目于2019年12月取得南通市生态环境局《关于江苏如东H4#海上风电场项目环境影响报告书的批复》（通环审〔2019〕6号），2020年3月开工建设，2021年12月完成全部建设内容，进入调试阶段。本项目实际总投资695162.5万元，环保投资3485.32万元，占比0.5%。</w:t>
      </w:r>
    </w:p>
    <w:p>
      <w:pPr>
        <w:adjustRightInd w:val="0"/>
        <w:snapToGrid w:val="0"/>
        <w:spacing w:line="570" w:lineRule="exact"/>
        <w:ind w:firstLine="640" w:firstLineChars="200"/>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（二）工程变动情况</w:t>
      </w:r>
    </w:p>
    <w:p>
      <w:pPr>
        <w:spacing w:line="570" w:lineRule="exact"/>
        <w:ind w:firstLine="640" w:firstLineChars="200"/>
        <w:rPr>
          <w:rFonts w:eastAsia="方正仿宋_GBK"/>
          <w:bCs/>
          <w:sz w:val="32"/>
          <w:szCs w:val="32"/>
        </w:rPr>
      </w:pPr>
      <w:r>
        <w:rPr>
          <w:rFonts w:hint="eastAsia" w:eastAsia="方正仿宋_GBK"/>
          <w:bCs/>
          <w:sz w:val="32"/>
          <w:szCs w:val="32"/>
        </w:rPr>
        <w:t>根据《调查报告》，与环评阶段相比，本项目实际建设阶段，环保工程中事故油罐容积由130m</w:t>
      </w:r>
      <w:r>
        <w:rPr>
          <w:rFonts w:hint="eastAsia" w:eastAsia="方正仿宋_GBK"/>
          <w:bCs/>
          <w:sz w:val="32"/>
          <w:szCs w:val="32"/>
          <w:vertAlign w:val="superscript"/>
        </w:rPr>
        <w:t>3</w:t>
      </w:r>
      <w:r>
        <w:rPr>
          <w:rFonts w:hint="eastAsia" w:eastAsia="方正仿宋_GBK"/>
          <w:bCs/>
          <w:sz w:val="32"/>
          <w:szCs w:val="32"/>
        </w:rPr>
        <w:t>调整为100m</w:t>
      </w:r>
      <w:r>
        <w:rPr>
          <w:rFonts w:hint="eastAsia" w:eastAsia="方正仿宋_GBK"/>
          <w:bCs/>
          <w:sz w:val="32"/>
          <w:szCs w:val="32"/>
          <w:vertAlign w:val="superscript"/>
        </w:rPr>
        <w:t>3</w:t>
      </w:r>
      <w:r>
        <w:rPr>
          <w:rFonts w:hint="eastAsia" w:eastAsia="方正仿宋_GBK"/>
          <w:bCs/>
          <w:sz w:val="32"/>
          <w:szCs w:val="32"/>
        </w:rPr>
        <w:t>，你单位</w:t>
      </w:r>
      <w:r>
        <w:rPr>
          <w:rFonts w:hint="eastAsia" w:eastAsia="方正仿宋_GBK"/>
          <w:sz w:val="32"/>
          <w:szCs w:val="32"/>
        </w:rPr>
        <w:t>承诺</w:t>
      </w:r>
      <w:r>
        <w:rPr>
          <w:rFonts w:hint="eastAsia" w:eastAsia="方正仿宋_GBK"/>
          <w:bCs/>
          <w:sz w:val="32"/>
          <w:szCs w:val="32"/>
        </w:rPr>
        <w:t>2024年6月30日前</w:t>
      </w:r>
      <w:r>
        <w:rPr>
          <w:rFonts w:eastAsia="方正仿宋_GBK"/>
          <w:sz w:val="32"/>
          <w:szCs w:val="32"/>
        </w:rPr>
        <w:t>在连通主变室事故油坑和事故油罐的油管中部增设电动控制阀门，以充分利用事故油坑的容量</w:t>
      </w:r>
      <w:r>
        <w:rPr>
          <w:rFonts w:hint="eastAsia" w:eastAsia="方正仿宋_GBK"/>
          <w:sz w:val="32"/>
          <w:szCs w:val="32"/>
        </w:rPr>
        <w:t>，</w:t>
      </w:r>
      <w:r>
        <w:rPr>
          <w:rFonts w:eastAsia="方正仿宋_GBK"/>
          <w:sz w:val="32"/>
          <w:szCs w:val="32"/>
        </w:rPr>
        <w:t>将海上升压站事故废油应急处置能力提升至133m</w:t>
      </w:r>
      <w:r>
        <w:rPr>
          <w:rFonts w:eastAsia="方正仿宋_GBK"/>
          <w:sz w:val="32"/>
          <w:szCs w:val="32"/>
          <w:vertAlign w:val="superscript"/>
        </w:rPr>
        <w:t>3</w:t>
      </w:r>
      <w:r>
        <w:rPr>
          <w:rFonts w:eastAsia="方正仿宋_GBK"/>
          <w:sz w:val="32"/>
          <w:szCs w:val="32"/>
        </w:rPr>
        <w:t>以上，满足环评批复要求的事故油罐容量以及2台主变同时发生事故</w:t>
      </w:r>
      <w:r>
        <w:rPr>
          <w:rFonts w:hint="eastAsia" w:eastAsia="方正仿宋_GBK"/>
          <w:sz w:val="32"/>
          <w:szCs w:val="32"/>
        </w:rPr>
        <w:t>时</w:t>
      </w:r>
      <w:r>
        <w:rPr>
          <w:rFonts w:eastAsia="方正仿宋_GBK"/>
          <w:sz w:val="32"/>
          <w:szCs w:val="32"/>
        </w:rPr>
        <w:t>废油</w:t>
      </w:r>
      <w:r>
        <w:rPr>
          <w:rFonts w:hint="eastAsia" w:eastAsia="方正仿宋_GBK"/>
          <w:sz w:val="32"/>
          <w:szCs w:val="32"/>
        </w:rPr>
        <w:t>安全接收</w:t>
      </w:r>
      <w:r>
        <w:rPr>
          <w:rFonts w:eastAsia="方正仿宋_GBK"/>
          <w:sz w:val="32"/>
          <w:szCs w:val="32"/>
        </w:rPr>
        <w:t>的应急能力</w:t>
      </w:r>
      <w:r>
        <w:rPr>
          <w:rFonts w:hint="eastAsia" w:eastAsia="方正仿宋_GBK"/>
          <w:sz w:val="32"/>
          <w:szCs w:val="32"/>
        </w:rPr>
        <w:t>；</w:t>
      </w:r>
      <w:r>
        <w:rPr>
          <w:rFonts w:hint="eastAsia" w:eastAsia="方正仿宋_GBK"/>
          <w:bCs/>
          <w:sz w:val="32"/>
          <w:szCs w:val="32"/>
        </w:rPr>
        <w:t>主体工程中海上升压站上部组块平面布置略微调整（应急配电室及柴油发电机等改设于升压站二层）。</w:t>
      </w:r>
    </w:p>
    <w:p>
      <w:pPr>
        <w:spacing w:line="570" w:lineRule="exact"/>
        <w:ind w:firstLine="640" w:firstLineChars="200"/>
        <w:rPr>
          <w:rFonts w:eastAsia="方正仿宋_GBK"/>
          <w:bCs/>
          <w:sz w:val="32"/>
          <w:szCs w:val="32"/>
        </w:rPr>
      </w:pPr>
      <w:r>
        <w:rPr>
          <w:rFonts w:hint="eastAsia" w:eastAsia="方正仿宋_GBK"/>
          <w:bCs/>
          <w:sz w:val="32"/>
          <w:szCs w:val="32"/>
        </w:rPr>
        <w:t>依据《省生态环境厅关于加强涉变动项目环评与排污许可管理衔接的通知》（苏环办〔2021〕122号）中的生态影响类建设项目重大变动清单（试行），本项目不涉及重大变动。</w:t>
      </w:r>
    </w:p>
    <w:p>
      <w:pPr>
        <w:adjustRightInd w:val="0"/>
        <w:snapToGrid w:val="0"/>
        <w:spacing w:line="570" w:lineRule="exact"/>
        <w:ind w:firstLine="640" w:firstLineChars="20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二、环保措施及环境风险防范措施落实情况</w:t>
      </w:r>
    </w:p>
    <w:p>
      <w:pPr>
        <w:adjustRightInd w:val="0"/>
        <w:snapToGrid w:val="0"/>
        <w:spacing w:line="570" w:lineRule="exact"/>
        <w:ind w:firstLine="640" w:firstLineChars="200"/>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（一）水污染防治措施落实情况</w:t>
      </w:r>
    </w:p>
    <w:p>
      <w:pPr>
        <w:pStyle w:val="23"/>
        <w:spacing w:line="570" w:lineRule="exact"/>
        <w:ind w:firstLine="640"/>
        <w:rPr>
          <w:rFonts w:ascii="Times New Roman" w:hAnsi="Times New Roman" w:eastAsia="方正仿宋_GBK"/>
          <w:bCs/>
          <w:sz w:val="32"/>
          <w:szCs w:val="32"/>
        </w:rPr>
      </w:pPr>
      <w:r>
        <w:rPr>
          <w:rFonts w:hint="eastAsia" w:ascii="Times New Roman" w:hAnsi="Times New Roman" w:eastAsia="方正仿宋_GBK"/>
          <w:bCs/>
          <w:sz w:val="32"/>
          <w:szCs w:val="32"/>
        </w:rPr>
        <w:t>本项目船舶生活污水由船舶配套污水处理装置处理后和油污水一并交由南通亿洋船务工程有限公司或启东市华荣船舶劳务有限公司接收处置。海上升压站及风机运维期间生活污水经升压站生活污水处理装置处理后（粉碎和消毒），统一和运维船舶污染物一起交由资质单位处置，运维船单位已与南通中蓝海洋科技有限责任公司、如东中海新能源有限公司、盐城市国平船务有限公司、南通亿洋船务工程有限公司签订了船舶污染物的接收协议。</w:t>
      </w:r>
    </w:p>
    <w:p>
      <w:pPr>
        <w:adjustRightInd w:val="0"/>
        <w:snapToGrid w:val="0"/>
        <w:spacing w:line="570" w:lineRule="exact"/>
        <w:ind w:firstLine="640" w:firstLineChars="200"/>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（二）大气污染防治措施落实情况</w:t>
      </w:r>
    </w:p>
    <w:p>
      <w:pPr>
        <w:adjustRightInd w:val="0"/>
        <w:snapToGrid w:val="0"/>
        <w:spacing w:line="570" w:lineRule="exact"/>
        <w:ind w:firstLine="640" w:firstLineChars="200"/>
        <w:rPr>
          <w:rFonts w:eastAsia="方正仿宋_GBK"/>
          <w:bCs/>
          <w:sz w:val="32"/>
          <w:szCs w:val="32"/>
        </w:rPr>
      </w:pPr>
      <w:r>
        <w:rPr>
          <w:rFonts w:hint="eastAsia" w:eastAsia="方正仿宋_GBK"/>
          <w:bCs/>
          <w:sz w:val="32"/>
          <w:szCs w:val="32"/>
        </w:rPr>
        <w:t>本项目严格控制船舶航行管理，有效控制废气污染。</w:t>
      </w:r>
    </w:p>
    <w:p>
      <w:pPr>
        <w:adjustRightInd w:val="0"/>
        <w:snapToGrid w:val="0"/>
        <w:spacing w:line="570" w:lineRule="exact"/>
        <w:ind w:firstLine="640" w:firstLineChars="200"/>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（三）噪声污染防治措施落实情况</w:t>
      </w:r>
    </w:p>
    <w:p>
      <w:pPr>
        <w:pStyle w:val="23"/>
        <w:spacing w:line="570" w:lineRule="exact"/>
        <w:ind w:firstLine="640"/>
        <w:rPr>
          <w:rFonts w:ascii="Times New Roman" w:hAnsi="Times New Roman" w:eastAsia="方正仿宋_GBK"/>
          <w:bCs/>
          <w:sz w:val="32"/>
          <w:szCs w:val="32"/>
        </w:rPr>
      </w:pPr>
      <w:r>
        <w:rPr>
          <w:rFonts w:hint="eastAsia" w:ascii="Times New Roman" w:hAnsi="Times New Roman" w:eastAsia="方正仿宋_GBK"/>
          <w:bCs/>
          <w:sz w:val="32"/>
          <w:szCs w:val="32"/>
        </w:rPr>
        <w:t>本项目海上220kV升压站选用低噪声变压器，风机主要机械部件之间采用了弹性连接，减少部件的振动。主变压器与底座之间安装隔振垫，海上升压站结构外壳敷设铝合金吸音板。</w:t>
      </w:r>
    </w:p>
    <w:p>
      <w:pPr>
        <w:adjustRightInd w:val="0"/>
        <w:snapToGrid w:val="0"/>
        <w:spacing w:line="570" w:lineRule="exact"/>
        <w:ind w:firstLine="640" w:firstLineChars="200"/>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（四）海洋生态环境保护措施落实情况</w:t>
      </w:r>
    </w:p>
    <w:p>
      <w:pPr>
        <w:pStyle w:val="23"/>
        <w:spacing w:line="570" w:lineRule="exact"/>
        <w:ind w:firstLine="640"/>
        <w:rPr>
          <w:rFonts w:ascii="Times New Roman" w:hAnsi="Times New Roman" w:eastAsia="方正仿宋_GBK"/>
          <w:bCs/>
          <w:sz w:val="32"/>
          <w:szCs w:val="32"/>
        </w:rPr>
      </w:pPr>
      <w:r>
        <w:rPr>
          <w:rFonts w:hint="eastAsia" w:ascii="Times New Roman" w:hAnsi="Times New Roman" w:eastAsia="方正仿宋_GBK"/>
          <w:bCs/>
          <w:sz w:val="32"/>
          <w:szCs w:val="32"/>
        </w:rPr>
        <w:t>本项目合理设置施工方案，缩短水下作业时间，减少施工悬浮物对海洋环境的影响。</w:t>
      </w:r>
      <w:r>
        <w:rPr>
          <w:rFonts w:ascii="Times New Roman" w:hAnsi="Times New Roman" w:eastAsia="方正仿宋_GBK"/>
          <w:color w:val="000000"/>
          <w:sz w:val="32"/>
        </w:rPr>
        <w:t>按照《关于加强涉海工程项目海洋资源生态补偿资金缴纳与使用管理工作的通知》（东政办发〔2021〕77号）</w:t>
      </w:r>
      <w:r>
        <w:rPr>
          <w:rFonts w:ascii="Times New Roman" w:hAnsi="Times New Roman" w:eastAsia="方正仿宋_GBK"/>
          <w:sz w:val="32"/>
          <w:szCs w:val="32"/>
        </w:rPr>
        <w:t>缴纳相应</w:t>
      </w:r>
      <w:r>
        <w:rPr>
          <w:rFonts w:hint="eastAsia" w:ascii="Times New Roman" w:hAnsi="Times New Roman" w:eastAsia="方正仿宋_GBK"/>
          <w:sz w:val="32"/>
          <w:szCs w:val="32"/>
        </w:rPr>
        <w:t>海洋生态</w:t>
      </w:r>
      <w:r>
        <w:rPr>
          <w:rFonts w:ascii="Times New Roman" w:hAnsi="Times New Roman" w:eastAsia="方正仿宋_GBK"/>
          <w:sz w:val="32"/>
          <w:szCs w:val="32"/>
        </w:rPr>
        <w:t>补偿经费至如东县财政。</w:t>
      </w:r>
      <w:r>
        <w:rPr>
          <w:rFonts w:hint="eastAsia" w:ascii="Times New Roman" w:hAnsi="Times New Roman" w:eastAsia="方正仿宋_GBK"/>
          <w:bCs/>
          <w:sz w:val="32"/>
          <w:szCs w:val="32"/>
        </w:rPr>
        <w:t>如东H4#海上风电场项目</w:t>
      </w:r>
      <w:r>
        <w:rPr>
          <w:rFonts w:ascii="Times New Roman" w:hAnsi="Times New Roman" w:eastAsia="方正仿宋_GBK"/>
          <w:sz w:val="32"/>
          <w:szCs w:val="32"/>
        </w:rPr>
        <w:t>海洋生态修复资金共2698.29万元，目前已完成第一笔899.43万元、第二笔899.43万元海洋生态补偿资金缴纳</w:t>
      </w:r>
      <w:r>
        <w:rPr>
          <w:rFonts w:hint="eastAsia" w:ascii="Times New Roman" w:hAnsi="Times New Roman" w:eastAsia="方正仿宋_GBK"/>
          <w:sz w:val="32"/>
          <w:szCs w:val="32"/>
        </w:rPr>
        <w:t>，你单位承诺按照协议于</w:t>
      </w:r>
      <w:r>
        <w:rPr>
          <w:rFonts w:hint="eastAsia" w:ascii="Times New Roman" w:hAnsi="Times New Roman" w:eastAsia="方正仿宋_GBK"/>
          <w:bCs/>
          <w:sz w:val="32"/>
          <w:szCs w:val="32"/>
        </w:rPr>
        <w:t>2024年6月30日前所有补偿资金缴纳完毕。</w:t>
      </w:r>
    </w:p>
    <w:p>
      <w:pPr>
        <w:pStyle w:val="23"/>
        <w:spacing w:line="570" w:lineRule="exact"/>
        <w:ind w:firstLine="640"/>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（五）固体废物处置措施落实情况</w:t>
      </w:r>
    </w:p>
    <w:p>
      <w:pPr>
        <w:pStyle w:val="23"/>
        <w:spacing w:line="570" w:lineRule="exact"/>
        <w:ind w:firstLine="640"/>
        <w:rPr>
          <w:rFonts w:ascii="Times New Roman" w:hAnsi="Times New Roman" w:eastAsia="方正仿宋_GBK"/>
          <w:color w:val="000000"/>
          <w:sz w:val="32"/>
        </w:rPr>
      </w:pPr>
      <w:r>
        <w:rPr>
          <w:rFonts w:hint="eastAsia" w:ascii="Times New Roman" w:hAnsi="Times New Roman" w:eastAsia="方正仿宋_GBK"/>
          <w:color w:val="000000"/>
          <w:sz w:val="32"/>
        </w:rPr>
        <w:t>本项目</w:t>
      </w:r>
      <w:r>
        <w:rPr>
          <w:rFonts w:ascii="Times New Roman" w:hAnsi="Times New Roman" w:eastAsia="方正仿宋_GBK"/>
          <w:color w:val="000000"/>
          <w:sz w:val="32"/>
        </w:rPr>
        <w:t>海上升压站及风机运维期间，海上运维期间产生的垃圾和运维船舶污染物一起交由资质单位处置，运维船单位已与南通中蓝海洋科技有限责任公司、如东中海新能源有限公司、盐城市国平船务有限公司、南通亿洋船务工程有限公司签订了</w:t>
      </w:r>
      <w:r>
        <w:rPr>
          <w:rFonts w:hint="eastAsia" w:ascii="Times New Roman" w:hAnsi="Times New Roman" w:eastAsia="方正仿宋_GBK"/>
          <w:color w:val="000000"/>
          <w:sz w:val="32"/>
        </w:rPr>
        <w:t>船舶污染物</w:t>
      </w:r>
      <w:r>
        <w:rPr>
          <w:rFonts w:ascii="Times New Roman" w:hAnsi="Times New Roman" w:eastAsia="方正仿宋_GBK"/>
          <w:color w:val="000000"/>
          <w:sz w:val="32"/>
        </w:rPr>
        <w:t>的接收协议。海上升压站主变检修和事故状态下产生的废油，收集后暂存于事故油罐，属于危险废物，建设单位已与东江环保技术有限公司签订了废润滑油、废液压油、废变压器油和废滤芯的处置协议，与南通源天环保科技有限公司签订了废电池收集协议。</w:t>
      </w:r>
    </w:p>
    <w:p>
      <w:pPr>
        <w:pStyle w:val="23"/>
        <w:spacing w:line="570" w:lineRule="exact"/>
        <w:ind w:firstLine="640"/>
        <w:outlineLvl w:val="1"/>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（六）环境风险防范及应急措施落实情况</w:t>
      </w:r>
    </w:p>
    <w:p>
      <w:pPr>
        <w:pStyle w:val="23"/>
        <w:spacing w:line="570" w:lineRule="exact"/>
        <w:ind w:firstLine="640"/>
        <w:rPr>
          <w:rFonts w:ascii="Times New Roman" w:hAnsi="Times New Roman" w:eastAsia="方正仿宋_GBK"/>
          <w:bCs/>
          <w:sz w:val="32"/>
          <w:szCs w:val="32"/>
        </w:rPr>
      </w:pPr>
      <w:r>
        <w:rPr>
          <w:rFonts w:hint="eastAsia" w:ascii="Times New Roman" w:hAnsi="Times New Roman" w:eastAsia="方正仿宋_GBK"/>
          <w:bCs/>
          <w:sz w:val="32"/>
          <w:szCs w:val="32"/>
        </w:rPr>
        <w:t>海上升压站配备了应急救援物资。与南通亿洋船务工程有限公司签订了应急处置协议。建设单位编制《如东和风海上风力发电有限公司防治海洋工程污染损害海洋环境应急预案》并备案（备案号为：320600-2022-H008-L）。</w:t>
      </w:r>
    </w:p>
    <w:p>
      <w:pPr>
        <w:adjustRightInd w:val="0"/>
        <w:snapToGrid w:val="0"/>
        <w:spacing w:line="570" w:lineRule="exact"/>
        <w:ind w:firstLine="640" w:firstLineChars="20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三、工程建设对海洋环境的影响</w:t>
      </w:r>
    </w:p>
    <w:p>
      <w:pPr>
        <w:spacing w:line="570" w:lineRule="exact"/>
        <w:ind w:firstLine="640" w:firstLineChars="200"/>
        <w:rPr>
          <w:rFonts w:eastAsia="方正仿宋_GBK"/>
          <w:bCs/>
          <w:sz w:val="32"/>
          <w:szCs w:val="32"/>
        </w:rPr>
      </w:pPr>
      <w:r>
        <w:rPr>
          <w:rFonts w:hint="eastAsia" w:eastAsia="方正仿宋_GBK"/>
          <w:bCs/>
          <w:sz w:val="32"/>
          <w:szCs w:val="32"/>
        </w:rPr>
        <w:t>根据《调查报告》，工程施工和试运行对周边海域海水水质、沉积物等未产生明显影响。</w:t>
      </w:r>
    </w:p>
    <w:p>
      <w:pPr>
        <w:adjustRightInd w:val="0"/>
        <w:snapToGrid w:val="0"/>
        <w:spacing w:line="570" w:lineRule="exact"/>
        <w:ind w:firstLine="640" w:firstLineChars="20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四、验收结论和管理要求</w:t>
      </w:r>
    </w:p>
    <w:p>
      <w:pPr>
        <w:pStyle w:val="24"/>
        <w:spacing w:line="570" w:lineRule="exact"/>
        <w:ind w:firstLine="640"/>
        <w:rPr>
          <w:rFonts w:ascii="Times New Roman" w:hAnsi="Times New Roman" w:eastAsia="方正仿宋_GBK"/>
          <w:bCs/>
          <w:sz w:val="32"/>
          <w:szCs w:val="32"/>
        </w:rPr>
      </w:pPr>
      <w:r>
        <w:rPr>
          <w:rFonts w:hint="eastAsia" w:ascii="Times New Roman" w:hAnsi="Times New Roman" w:eastAsia="方正仿宋_GBK"/>
          <w:bCs/>
          <w:sz w:val="32"/>
          <w:szCs w:val="32"/>
        </w:rPr>
        <w:t>本项目建设无重大变更，并按环境影响报告及批复意见落实了施工期及试运营期各环境要素、海洋生态环境保护及风险防范措施。经研究，同意该项目环境保护设施验收合格。</w:t>
      </w:r>
    </w:p>
    <w:p>
      <w:pPr>
        <w:pStyle w:val="24"/>
        <w:spacing w:line="570" w:lineRule="exact"/>
        <w:ind w:firstLine="640"/>
        <w:rPr>
          <w:rFonts w:ascii="Times New Roman" w:hAnsi="Times New Roman" w:eastAsia="方正仿宋_GBK"/>
          <w:bCs/>
          <w:sz w:val="32"/>
          <w:szCs w:val="32"/>
        </w:rPr>
      </w:pPr>
      <w:r>
        <w:rPr>
          <w:rFonts w:hint="eastAsia" w:ascii="Times New Roman" w:hAnsi="Times New Roman" w:eastAsia="方正仿宋_GBK"/>
          <w:bCs/>
          <w:sz w:val="32"/>
          <w:szCs w:val="32"/>
        </w:rPr>
        <w:t>项目投入运营后应加强海洋生态环境跟踪监测，切实落实各项生态保护措施；认真落实环境风险防范措施，在安全前提下抓紧完成事故废油应急处置能力提升工程，加强溢油应急设备管理与维护，确保发生溢油事故时能够及时、快速和有效处置；认真落实生态补偿要求，积极配合如东县按要求做好海洋生态补偿与修复工作，确保补偿资金专款专用。</w:t>
      </w:r>
    </w:p>
    <w:p>
      <w:pPr>
        <w:pStyle w:val="24"/>
        <w:spacing w:line="570" w:lineRule="exact"/>
        <w:ind w:firstLine="640"/>
        <w:rPr>
          <w:rFonts w:ascii="Times New Roman" w:hAnsi="Times New Roman" w:eastAsia="方正仿宋_GBK"/>
          <w:bCs/>
          <w:sz w:val="32"/>
          <w:szCs w:val="32"/>
        </w:rPr>
      </w:pPr>
    </w:p>
    <w:p>
      <w:pPr>
        <w:adjustRightInd w:val="0"/>
        <w:snapToGrid w:val="0"/>
        <w:spacing w:line="570" w:lineRule="exact"/>
        <w:rPr>
          <w:rFonts w:eastAsia="华文仿宋"/>
          <w:bCs/>
          <w:sz w:val="32"/>
          <w:szCs w:val="32"/>
        </w:rPr>
      </w:pPr>
    </w:p>
    <w:p>
      <w:pPr>
        <w:adjustRightInd w:val="0"/>
        <w:snapToGrid w:val="0"/>
        <w:spacing w:line="570" w:lineRule="exact"/>
        <w:jc w:val="right"/>
        <w:rPr>
          <w:rFonts w:eastAsia="方正仿宋_GBK"/>
          <w:bCs/>
          <w:sz w:val="32"/>
          <w:szCs w:val="32"/>
        </w:rPr>
      </w:pPr>
      <w:r>
        <w:rPr>
          <w:rFonts w:hint="eastAsia" w:eastAsia="方正仿宋_GBK"/>
          <w:bCs/>
          <w:sz w:val="32"/>
          <w:szCs w:val="32"/>
        </w:rPr>
        <w:t>南通市生态环境局</w:t>
      </w:r>
    </w:p>
    <w:p>
      <w:pPr>
        <w:adjustRightInd w:val="0"/>
        <w:snapToGrid w:val="0"/>
        <w:spacing w:line="590" w:lineRule="atLeast"/>
        <w:jc w:val="right"/>
        <w:rPr>
          <w:rFonts w:eastAsia="方正仿宋_GBK"/>
          <w:bCs/>
          <w:sz w:val="32"/>
          <w:szCs w:val="32"/>
        </w:rPr>
      </w:pPr>
      <w:r>
        <w:rPr>
          <w:rFonts w:hint="eastAsia" w:eastAsia="方正仿宋_GBK"/>
          <w:bCs/>
          <w:sz w:val="32"/>
          <w:szCs w:val="32"/>
        </w:rPr>
        <w:t>2023年12月</w:t>
      </w:r>
      <w:r>
        <w:rPr>
          <w:rFonts w:hint="eastAsia" w:eastAsia="方正仿宋_GBK"/>
          <w:bCs/>
          <w:sz w:val="32"/>
          <w:szCs w:val="32"/>
          <w:lang w:val="en-US" w:eastAsia="zh-CN"/>
        </w:rPr>
        <w:t>6</w:t>
      </w:r>
      <w:r>
        <w:rPr>
          <w:rFonts w:hint="eastAsia" w:eastAsia="方正仿宋_GBK"/>
          <w:bCs/>
          <w:sz w:val="32"/>
          <w:szCs w:val="32"/>
        </w:rPr>
        <w:t>日</w:t>
      </w:r>
    </w:p>
    <w:p>
      <w:pPr>
        <w:spacing w:line="590" w:lineRule="atLeast"/>
        <w:rPr>
          <w:rFonts w:eastAsia="华文仿宋"/>
          <w:sz w:val="32"/>
          <w:szCs w:val="32"/>
        </w:rPr>
      </w:pPr>
    </w:p>
    <w:p>
      <w:pPr>
        <w:spacing w:line="590" w:lineRule="atLeast"/>
        <w:rPr>
          <w:rFonts w:eastAsia="华文仿宋"/>
          <w:sz w:val="32"/>
          <w:szCs w:val="32"/>
        </w:rPr>
      </w:pPr>
    </w:p>
    <w:p>
      <w:pPr>
        <w:spacing w:line="590" w:lineRule="atLeast"/>
        <w:rPr>
          <w:rFonts w:eastAsia="华文仿宋"/>
          <w:sz w:val="32"/>
          <w:szCs w:val="32"/>
        </w:rPr>
      </w:pPr>
    </w:p>
    <w:p>
      <w:pPr>
        <w:spacing w:line="590" w:lineRule="atLeast"/>
        <w:rPr>
          <w:rFonts w:eastAsia="华文仿宋"/>
          <w:sz w:val="32"/>
          <w:szCs w:val="32"/>
        </w:rPr>
      </w:pPr>
    </w:p>
    <w:p>
      <w:pPr>
        <w:spacing w:line="590" w:lineRule="atLeast"/>
        <w:rPr>
          <w:rFonts w:eastAsia="华文仿宋"/>
          <w:sz w:val="32"/>
          <w:szCs w:val="32"/>
        </w:rPr>
      </w:pPr>
    </w:p>
    <w:p>
      <w:pPr>
        <w:spacing w:line="590" w:lineRule="atLeast"/>
        <w:rPr>
          <w:rFonts w:eastAsia="华文仿宋"/>
          <w:sz w:val="32"/>
          <w:szCs w:val="32"/>
        </w:rPr>
      </w:pPr>
    </w:p>
    <w:p>
      <w:pPr>
        <w:spacing w:line="590" w:lineRule="atLeast"/>
        <w:rPr>
          <w:rFonts w:eastAsia="华文仿宋"/>
          <w:sz w:val="32"/>
          <w:szCs w:val="32"/>
        </w:rPr>
      </w:pPr>
    </w:p>
    <w:p>
      <w:pPr>
        <w:spacing w:line="590" w:lineRule="atLeast"/>
        <w:rPr>
          <w:rFonts w:eastAsia="华文仿宋"/>
          <w:sz w:val="32"/>
          <w:szCs w:val="32"/>
        </w:rPr>
      </w:pPr>
    </w:p>
    <w:p>
      <w:pPr>
        <w:spacing w:line="590" w:lineRule="atLeast"/>
        <w:rPr>
          <w:rFonts w:eastAsia="华文仿宋"/>
          <w:sz w:val="32"/>
          <w:szCs w:val="32"/>
        </w:rPr>
      </w:pPr>
    </w:p>
    <w:p>
      <w:pPr>
        <w:spacing w:line="590" w:lineRule="atLeast"/>
        <w:rPr>
          <w:rFonts w:eastAsia="华文仿宋"/>
          <w:sz w:val="32"/>
          <w:szCs w:val="32"/>
        </w:rPr>
      </w:pPr>
    </w:p>
    <w:p>
      <w:pPr>
        <w:spacing w:line="590" w:lineRule="atLeast"/>
        <w:rPr>
          <w:rFonts w:eastAsia="华文仿宋"/>
          <w:sz w:val="32"/>
          <w:szCs w:val="32"/>
        </w:rPr>
      </w:pPr>
    </w:p>
    <w:tbl>
      <w:tblPr>
        <w:tblStyle w:val="11"/>
        <w:tblW w:w="9039" w:type="dxa"/>
        <w:jc w:val="center"/>
        <w:tblBorders>
          <w:top w:val="single" w:color="auto" w:sz="4"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39"/>
      </w:tblGrid>
      <w:tr>
        <w:tblPrEx>
          <w:tblBorders>
            <w:top w:val="single" w:color="auto" w:sz="4"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17" w:hRule="atLeast"/>
          <w:jc w:val="center"/>
        </w:trPr>
        <w:tc>
          <w:tcPr>
            <w:tcW w:w="9039" w:type="dxa"/>
          </w:tcPr>
          <w:p>
            <w:pPr>
              <w:spacing w:line="590" w:lineRule="atLeast"/>
              <w:rPr>
                <w:rFonts w:eastAsia="华文仿宋"/>
                <w:bCs/>
                <w:sz w:val="32"/>
                <w:szCs w:val="32"/>
              </w:rPr>
            </w:pPr>
            <w:r>
              <w:rPr>
                <w:rFonts w:hint="eastAsia" w:ascii="Times New Roman" w:hAnsi="Times New Roman" w:eastAsia="方正仿宋_GBK" w:cs="Times New Roman"/>
                <w:bCs/>
                <w:kern w:val="2"/>
                <w:sz w:val="32"/>
                <w:szCs w:val="32"/>
                <w:lang w:val="en-US" w:eastAsia="zh-CN" w:bidi="ar-SA"/>
              </w:rPr>
              <w:t>抄送：江苏省生态环境厅、如东县人民政府、南通市如东生态环境局</w:t>
            </w:r>
          </w:p>
        </w:tc>
      </w:tr>
    </w:tbl>
    <w:p>
      <w:pPr>
        <w:jc w:val="left"/>
        <w:rPr>
          <w:rFonts w:eastAsia="华文仿宋"/>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汉鼎简大宋">
    <w:altName w:val="宋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359"/>
      <w:rPr>
        <w:rFonts w:ascii="Calibri" w:hAnsi="Calibri" w:cs="Calibri"/>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1270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kNjcwNDdkMDU5ZWUwM2QzMDg4ODE3MDhiYzkyMWUifQ=="/>
  </w:docVars>
  <w:rsids>
    <w:rsidRoot w:val="00172A27"/>
    <w:rsid w:val="00015206"/>
    <w:rsid w:val="00020BC7"/>
    <w:rsid w:val="00021E60"/>
    <w:rsid w:val="00022A6B"/>
    <w:rsid w:val="00025277"/>
    <w:rsid w:val="000264C7"/>
    <w:rsid w:val="00026907"/>
    <w:rsid w:val="00027FFB"/>
    <w:rsid w:val="00036D86"/>
    <w:rsid w:val="000415C1"/>
    <w:rsid w:val="000457B0"/>
    <w:rsid w:val="00073E33"/>
    <w:rsid w:val="00077EEF"/>
    <w:rsid w:val="00082FB2"/>
    <w:rsid w:val="00090FC1"/>
    <w:rsid w:val="000A3596"/>
    <w:rsid w:val="000B15BE"/>
    <w:rsid w:val="000C4A78"/>
    <w:rsid w:val="000C6089"/>
    <w:rsid w:val="000C7FF7"/>
    <w:rsid w:val="00102944"/>
    <w:rsid w:val="001250B8"/>
    <w:rsid w:val="0012590C"/>
    <w:rsid w:val="0013043B"/>
    <w:rsid w:val="00134644"/>
    <w:rsid w:val="0014048D"/>
    <w:rsid w:val="00143C4D"/>
    <w:rsid w:val="001552FD"/>
    <w:rsid w:val="00163DEC"/>
    <w:rsid w:val="00172A27"/>
    <w:rsid w:val="00184069"/>
    <w:rsid w:val="00195F22"/>
    <w:rsid w:val="001977DD"/>
    <w:rsid w:val="001B27B8"/>
    <w:rsid w:val="001C01F5"/>
    <w:rsid w:val="001C6262"/>
    <w:rsid w:val="001D2182"/>
    <w:rsid w:val="001D65AE"/>
    <w:rsid w:val="001E0963"/>
    <w:rsid w:val="002014E3"/>
    <w:rsid w:val="0020615D"/>
    <w:rsid w:val="00207C8E"/>
    <w:rsid w:val="00236D66"/>
    <w:rsid w:val="002403C9"/>
    <w:rsid w:val="00243290"/>
    <w:rsid w:val="00246A13"/>
    <w:rsid w:val="00281356"/>
    <w:rsid w:val="00282DCD"/>
    <w:rsid w:val="00287AA6"/>
    <w:rsid w:val="00297316"/>
    <w:rsid w:val="002A72A8"/>
    <w:rsid w:val="002C6457"/>
    <w:rsid w:val="002C6FAA"/>
    <w:rsid w:val="002D456A"/>
    <w:rsid w:val="002D6C7E"/>
    <w:rsid w:val="002E32D2"/>
    <w:rsid w:val="002F0AFB"/>
    <w:rsid w:val="002F2CC2"/>
    <w:rsid w:val="002F5775"/>
    <w:rsid w:val="00302452"/>
    <w:rsid w:val="00311F99"/>
    <w:rsid w:val="003128FC"/>
    <w:rsid w:val="00323477"/>
    <w:rsid w:val="00324B5D"/>
    <w:rsid w:val="00325BF5"/>
    <w:rsid w:val="0032756A"/>
    <w:rsid w:val="00344862"/>
    <w:rsid w:val="00350452"/>
    <w:rsid w:val="00357EE6"/>
    <w:rsid w:val="0037038F"/>
    <w:rsid w:val="00370D3E"/>
    <w:rsid w:val="003851F9"/>
    <w:rsid w:val="00390958"/>
    <w:rsid w:val="003938E8"/>
    <w:rsid w:val="003A3E2E"/>
    <w:rsid w:val="003A67A0"/>
    <w:rsid w:val="003B6F05"/>
    <w:rsid w:val="003C13A7"/>
    <w:rsid w:val="003C1E4F"/>
    <w:rsid w:val="003C29B2"/>
    <w:rsid w:val="003C3586"/>
    <w:rsid w:val="003D2B74"/>
    <w:rsid w:val="003E0B2E"/>
    <w:rsid w:val="003E20CA"/>
    <w:rsid w:val="003E5FCA"/>
    <w:rsid w:val="003F7450"/>
    <w:rsid w:val="00406939"/>
    <w:rsid w:val="00412E4B"/>
    <w:rsid w:val="0041484A"/>
    <w:rsid w:val="00443FD4"/>
    <w:rsid w:val="00463AA0"/>
    <w:rsid w:val="0047062C"/>
    <w:rsid w:val="0047135C"/>
    <w:rsid w:val="004750B4"/>
    <w:rsid w:val="00484977"/>
    <w:rsid w:val="0048636B"/>
    <w:rsid w:val="00487290"/>
    <w:rsid w:val="00493549"/>
    <w:rsid w:val="004952CE"/>
    <w:rsid w:val="004A00D8"/>
    <w:rsid w:val="004A530F"/>
    <w:rsid w:val="004A6ADC"/>
    <w:rsid w:val="004B44E4"/>
    <w:rsid w:val="004F05A7"/>
    <w:rsid w:val="004F6410"/>
    <w:rsid w:val="004F6DFA"/>
    <w:rsid w:val="00502B34"/>
    <w:rsid w:val="0051146A"/>
    <w:rsid w:val="00523FF5"/>
    <w:rsid w:val="005242F2"/>
    <w:rsid w:val="0052472D"/>
    <w:rsid w:val="005329D6"/>
    <w:rsid w:val="00537B94"/>
    <w:rsid w:val="00550210"/>
    <w:rsid w:val="00562D17"/>
    <w:rsid w:val="00564C16"/>
    <w:rsid w:val="00566C49"/>
    <w:rsid w:val="005A115B"/>
    <w:rsid w:val="005A506B"/>
    <w:rsid w:val="005C121D"/>
    <w:rsid w:val="005C1994"/>
    <w:rsid w:val="005C2F2F"/>
    <w:rsid w:val="005C61EB"/>
    <w:rsid w:val="005E27F1"/>
    <w:rsid w:val="005E6025"/>
    <w:rsid w:val="005E6A21"/>
    <w:rsid w:val="005F7BD7"/>
    <w:rsid w:val="00604986"/>
    <w:rsid w:val="00606339"/>
    <w:rsid w:val="00610DFA"/>
    <w:rsid w:val="006271FE"/>
    <w:rsid w:val="00661B7C"/>
    <w:rsid w:val="006B11E4"/>
    <w:rsid w:val="006B3533"/>
    <w:rsid w:val="006C2484"/>
    <w:rsid w:val="006C52A3"/>
    <w:rsid w:val="006D56BC"/>
    <w:rsid w:val="006F057F"/>
    <w:rsid w:val="00705672"/>
    <w:rsid w:val="007448B1"/>
    <w:rsid w:val="00773114"/>
    <w:rsid w:val="00774D5D"/>
    <w:rsid w:val="0078031A"/>
    <w:rsid w:val="007A5DE3"/>
    <w:rsid w:val="007A7FC7"/>
    <w:rsid w:val="007C3737"/>
    <w:rsid w:val="007C7190"/>
    <w:rsid w:val="007D2615"/>
    <w:rsid w:val="007E4CB5"/>
    <w:rsid w:val="007F6E1D"/>
    <w:rsid w:val="00801C3A"/>
    <w:rsid w:val="00816820"/>
    <w:rsid w:val="0081740D"/>
    <w:rsid w:val="008212D3"/>
    <w:rsid w:val="00822093"/>
    <w:rsid w:val="0083029B"/>
    <w:rsid w:val="0084021E"/>
    <w:rsid w:val="0084328B"/>
    <w:rsid w:val="0084606E"/>
    <w:rsid w:val="008525EA"/>
    <w:rsid w:val="008666A6"/>
    <w:rsid w:val="00882469"/>
    <w:rsid w:val="00882607"/>
    <w:rsid w:val="008863B9"/>
    <w:rsid w:val="00890A8F"/>
    <w:rsid w:val="00892F13"/>
    <w:rsid w:val="00893B51"/>
    <w:rsid w:val="008B4CA4"/>
    <w:rsid w:val="008B7F2C"/>
    <w:rsid w:val="008F288D"/>
    <w:rsid w:val="0090019C"/>
    <w:rsid w:val="00900C04"/>
    <w:rsid w:val="00906941"/>
    <w:rsid w:val="00916C0F"/>
    <w:rsid w:val="00920700"/>
    <w:rsid w:val="009264F2"/>
    <w:rsid w:val="0093445D"/>
    <w:rsid w:val="0094071F"/>
    <w:rsid w:val="00942D5C"/>
    <w:rsid w:val="00944BB6"/>
    <w:rsid w:val="00950896"/>
    <w:rsid w:val="00964D2C"/>
    <w:rsid w:val="00966902"/>
    <w:rsid w:val="00967333"/>
    <w:rsid w:val="00982E86"/>
    <w:rsid w:val="00985CA7"/>
    <w:rsid w:val="009A799B"/>
    <w:rsid w:val="009B34DB"/>
    <w:rsid w:val="009B5254"/>
    <w:rsid w:val="009C637C"/>
    <w:rsid w:val="009C7539"/>
    <w:rsid w:val="009D68D3"/>
    <w:rsid w:val="009E27D5"/>
    <w:rsid w:val="009E48FF"/>
    <w:rsid w:val="009E509D"/>
    <w:rsid w:val="009F1B81"/>
    <w:rsid w:val="009F72B9"/>
    <w:rsid w:val="00A07D99"/>
    <w:rsid w:val="00A11EED"/>
    <w:rsid w:val="00A26AC5"/>
    <w:rsid w:val="00A3355C"/>
    <w:rsid w:val="00A33EC2"/>
    <w:rsid w:val="00A409A0"/>
    <w:rsid w:val="00A51F04"/>
    <w:rsid w:val="00A63D6B"/>
    <w:rsid w:val="00A659AD"/>
    <w:rsid w:val="00A71B7A"/>
    <w:rsid w:val="00A723C0"/>
    <w:rsid w:val="00A76A39"/>
    <w:rsid w:val="00A80D28"/>
    <w:rsid w:val="00A87098"/>
    <w:rsid w:val="00A9438D"/>
    <w:rsid w:val="00AA47A4"/>
    <w:rsid w:val="00AB6411"/>
    <w:rsid w:val="00AC5081"/>
    <w:rsid w:val="00AD5433"/>
    <w:rsid w:val="00AE1D0E"/>
    <w:rsid w:val="00AE2D56"/>
    <w:rsid w:val="00AE65EA"/>
    <w:rsid w:val="00B04531"/>
    <w:rsid w:val="00B06B6C"/>
    <w:rsid w:val="00B2253C"/>
    <w:rsid w:val="00B33E91"/>
    <w:rsid w:val="00B37E82"/>
    <w:rsid w:val="00B40383"/>
    <w:rsid w:val="00B412A0"/>
    <w:rsid w:val="00B44316"/>
    <w:rsid w:val="00B50693"/>
    <w:rsid w:val="00B61274"/>
    <w:rsid w:val="00B61939"/>
    <w:rsid w:val="00B62061"/>
    <w:rsid w:val="00B6657D"/>
    <w:rsid w:val="00B85A64"/>
    <w:rsid w:val="00B96C57"/>
    <w:rsid w:val="00BA6462"/>
    <w:rsid w:val="00BB2E38"/>
    <w:rsid w:val="00BB485D"/>
    <w:rsid w:val="00BC02DC"/>
    <w:rsid w:val="00BC23D7"/>
    <w:rsid w:val="00BD4D9A"/>
    <w:rsid w:val="00BE013E"/>
    <w:rsid w:val="00BE6757"/>
    <w:rsid w:val="00BF7D83"/>
    <w:rsid w:val="00C119C6"/>
    <w:rsid w:val="00C2476C"/>
    <w:rsid w:val="00C25A9A"/>
    <w:rsid w:val="00C40F56"/>
    <w:rsid w:val="00C45D91"/>
    <w:rsid w:val="00C51745"/>
    <w:rsid w:val="00C60709"/>
    <w:rsid w:val="00C632C1"/>
    <w:rsid w:val="00C63369"/>
    <w:rsid w:val="00C703D3"/>
    <w:rsid w:val="00C814BC"/>
    <w:rsid w:val="00C96E51"/>
    <w:rsid w:val="00CB6CA7"/>
    <w:rsid w:val="00CC7788"/>
    <w:rsid w:val="00CD3007"/>
    <w:rsid w:val="00CD7349"/>
    <w:rsid w:val="00CF1639"/>
    <w:rsid w:val="00CF1AEC"/>
    <w:rsid w:val="00CF37D1"/>
    <w:rsid w:val="00D042E8"/>
    <w:rsid w:val="00D068D8"/>
    <w:rsid w:val="00D06B12"/>
    <w:rsid w:val="00D12041"/>
    <w:rsid w:val="00D25A78"/>
    <w:rsid w:val="00D36A82"/>
    <w:rsid w:val="00D400E5"/>
    <w:rsid w:val="00D43432"/>
    <w:rsid w:val="00D4474F"/>
    <w:rsid w:val="00D47762"/>
    <w:rsid w:val="00D57206"/>
    <w:rsid w:val="00D57955"/>
    <w:rsid w:val="00D57BD0"/>
    <w:rsid w:val="00D66E1B"/>
    <w:rsid w:val="00D740ED"/>
    <w:rsid w:val="00D761D0"/>
    <w:rsid w:val="00D773C6"/>
    <w:rsid w:val="00D85B2F"/>
    <w:rsid w:val="00D87985"/>
    <w:rsid w:val="00DA1445"/>
    <w:rsid w:val="00DB012B"/>
    <w:rsid w:val="00DB3F2E"/>
    <w:rsid w:val="00DC5FB3"/>
    <w:rsid w:val="00DC7419"/>
    <w:rsid w:val="00DD6C45"/>
    <w:rsid w:val="00DD7058"/>
    <w:rsid w:val="00E00E1E"/>
    <w:rsid w:val="00E06E45"/>
    <w:rsid w:val="00E072A1"/>
    <w:rsid w:val="00E12E92"/>
    <w:rsid w:val="00E15F0E"/>
    <w:rsid w:val="00E278E9"/>
    <w:rsid w:val="00E27E15"/>
    <w:rsid w:val="00E32524"/>
    <w:rsid w:val="00E37929"/>
    <w:rsid w:val="00E424BD"/>
    <w:rsid w:val="00E44987"/>
    <w:rsid w:val="00E45D8F"/>
    <w:rsid w:val="00E54735"/>
    <w:rsid w:val="00E55F5B"/>
    <w:rsid w:val="00E566F1"/>
    <w:rsid w:val="00E72991"/>
    <w:rsid w:val="00E834CC"/>
    <w:rsid w:val="00E867D7"/>
    <w:rsid w:val="00E91BFF"/>
    <w:rsid w:val="00E95105"/>
    <w:rsid w:val="00EB2CD2"/>
    <w:rsid w:val="00EB56C8"/>
    <w:rsid w:val="00EC6281"/>
    <w:rsid w:val="00EC6956"/>
    <w:rsid w:val="00EC6976"/>
    <w:rsid w:val="00ED3B43"/>
    <w:rsid w:val="00EE0E56"/>
    <w:rsid w:val="00EE14A7"/>
    <w:rsid w:val="00F0136C"/>
    <w:rsid w:val="00F04382"/>
    <w:rsid w:val="00F122DC"/>
    <w:rsid w:val="00F13B0D"/>
    <w:rsid w:val="00F31257"/>
    <w:rsid w:val="00F408EB"/>
    <w:rsid w:val="00F45253"/>
    <w:rsid w:val="00F46C13"/>
    <w:rsid w:val="00F579B2"/>
    <w:rsid w:val="00F77420"/>
    <w:rsid w:val="00F823A1"/>
    <w:rsid w:val="00F864FE"/>
    <w:rsid w:val="00F9246C"/>
    <w:rsid w:val="00FA0572"/>
    <w:rsid w:val="00FA2633"/>
    <w:rsid w:val="00FA7285"/>
    <w:rsid w:val="00FB02A8"/>
    <w:rsid w:val="00FC1D41"/>
    <w:rsid w:val="00FC2BD1"/>
    <w:rsid w:val="00FD46CD"/>
    <w:rsid w:val="00FD497D"/>
    <w:rsid w:val="00FF1782"/>
    <w:rsid w:val="00FF4FBD"/>
    <w:rsid w:val="016F4359"/>
    <w:rsid w:val="01EA0541"/>
    <w:rsid w:val="02DB05BD"/>
    <w:rsid w:val="06023CB9"/>
    <w:rsid w:val="06815CB1"/>
    <w:rsid w:val="076F023F"/>
    <w:rsid w:val="08274879"/>
    <w:rsid w:val="0A6C55BC"/>
    <w:rsid w:val="0CA257D5"/>
    <w:rsid w:val="0D2B004D"/>
    <w:rsid w:val="0E846622"/>
    <w:rsid w:val="0F5A453C"/>
    <w:rsid w:val="11C2177D"/>
    <w:rsid w:val="153B4ABB"/>
    <w:rsid w:val="174B55BB"/>
    <w:rsid w:val="18B167CC"/>
    <w:rsid w:val="1A1F6BE5"/>
    <w:rsid w:val="1AEF3A33"/>
    <w:rsid w:val="1BB17A58"/>
    <w:rsid w:val="1BD5229A"/>
    <w:rsid w:val="1D600239"/>
    <w:rsid w:val="1EF03D4E"/>
    <w:rsid w:val="204D6D9F"/>
    <w:rsid w:val="209C7B96"/>
    <w:rsid w:val="214D4A19"/>
    <w:rsid w:val="21696C84"/>
    <w:rsid w:val="218762DA"/>
    <w:rsid w:val="21A40741"/>
    <w:rsid w:val="2583514D"/>
    <w:rsid w:val="25835E35"/>
    <w:rsid w:val="26F063B9"/>
    <w:rsid w:val="27267B08"/>
    <w:rsid w:val="27CF4FC9"/>
    <w:rsid w:val="2A5532CB"/>
    <w:rsid w:val="2AE214A1"/>
    <w:rsid w:val="2AEE5A35"/>
    <w:rsid w:val="2B916FE0"/>
    <w:rsid w:val="2B99138A"/>
    <w:rsid w:val="2BFE3BC7"/>
    <w:rsid w:val="31344448"/>
    <w:rsid w:val="336D4581"/>
    <w:rsid w:val="33AD1E58"/>
    <w:rsid w:val="349A5CE7"/>
    <w:rsid w:val="34EF30C9"/>
    <w:rsid w:val="3645211F"/>
    <w:rsid w:val="375114EA"/>
    <w:rsid w:val="37CD1A77"/>
    <w:rsid w:val="38651556"/>
    <w:rsid w:val="38811058"/>
    <w:rsid w:val="38842BDB"/>
    <w:rsid w:val="392044CE"/>
    <w:rsid w:val="3AB111F7"/>
    <w:rsid w:val="3B5E74BB"/>
    <w:rsid w:val="3CCD524B"/>
    <w:rsid w:val="3CFC3C89"/>
    <w:rsid w:val="3FD730B5"/>
    <w:rsid w:val="40FF2C62"/>
    <w:rsid w:val="415728E8"/>
    <w:rsid w:val="41F07122"/>
    <w:rsid w:val="42D134AB"/>
    <w:rsid w:val="43FB5A18"/>
    <w:rsid w:val="44A53920"/>
    <w:rsid w:val="44BC2308"/>
    <w:rsid w:val="45D33C64"/>
    <w:rsid w:val="469F1EA4"/>
    <w:rsid w:val="487A278D"/>
    <w:rsid w:val="49BB0E74"/>
    <w:rsid w:val="4A9C25B0"/>
    <w:rsid w:val="4C31392D"/>
    <w:rsid w:val="4D51381E"/>
    <w:rsid w:val="4D8130BB"/>
    <w:rsid w:val="4E595A68"/>
    <w:rsid w:val="509500C1"/>
    <w:rsid w:val="50AF0EA8"/>
    <w:rsid w:val="53A35875"/>
    <w:rsid w:val="55CD1977"/>
    <w:rsid w:val="56B909AE"/>
    <w:rsid w:val="56E706E0"/>
    <w:rsid w:val="5D4249A6"/>
    <w:rsid w:val="5D9B04A1"/>
    <w:rsid w:val="5F606150"/>
    <w:rsid w:val="604C7A9C"/>
    <w:rsid w:val="6054534C"/>
    <w:rsid w:val="62286042"/>
    <w:rsid w:val="645E1111"/>
    <w:rsid w:val="659C4CFC"/>
    <w:rsid w:val="679317CA"/>
    <w:rsid w:val="68EA48C2"/>
    <w:rsid w:val="69F1218F"/>
    <w:rsid w:val="6B6445EA"/>
    <w:rsid w:val="6BD96E12"/>
    <w:rsid w:val="6C940C20"/>
    <w:rsid w:val="6DDD3F60"/>
    <w:rsid w:val="6F7C6E41"/>
    <w:rsid w:val="6F8D6E36"/>
    <w:rsid w:val="707B687D"/>
    <w:rsid w:val="7120166B"/>
    <w:rsid w:val="715A1BEC"/>
    <w:rsid w:val="71F03F8A"/>
    <w:rsid w:val="72166732"/>
    <w:rsid w:val="7496678D"/>
    <w:rsid w:val="79C1351A"/>
    <w:rsid w:val="7B484FED"/>
    <w:rsid w:val="7B9C284F"/>
    <w:rsid w:val="7CB142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tLeast"/>
      <w:outlineLvl w:val="0"/>
    </w:pPr>
    <w:rPr>
      <w:b/>
      <w:bCs/>
      <w:kern w:val="44"/>
      <w:sz w:val="44"/>
      <w:szCs w:val="44"/>
    </w:rPr>
  </w:style>
  <w:style w:type="paragraph" w:styleId="3">
    <w:name w:val="heading 2"/>
    <w:basedOn w:val="1"/>
    <w:next w:val="1"/>
    <w:qFormat/>
    <w:uiPriority w:val="0"/>
    <w:pPr>
      <w:overflowPunct w:val="0"/>
      <w:adjustRightInd w:val="0"/>
      <w:snapToGrid w:val="0"/>
      <w:ind w:firstLine="199" w:firstLineChars="66"/>
      <w:outlineLvl w:val="1"/>
    </w:pPr>
    <w:rPr>
      <w:rFonts w:eastAsia="楷体"/>
      <w:b/>
      <w:sz w:val="30"/>
      <w:szCs w:val="30"/>
      <w:lang w:bidi="en-US"/>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4"/>
    <w:unhideWhenUsed/>
    <w:qFormat/>
    <w:uiPriority w:val="0"/>
    <w:pPr>
      <w:autoSpaceDE w:val="0"/>
      <w:autoSpaceDN w:val="0"/>
      <w:snapToGrid w:val="0"/>
      <w:spacing w:line="590" w:lineRule="atLeast"/>
      <w:ind w:firstLine="624"/>
      <w:jc w:val="left"/>
    </w:pPr>
    <w:rPr>
      <w:rFonts w:eastAsia="方正仿宋_GBK"/>
      <w:snapToGrid w:val="0"/>
      <w:kern w:val="0"/>
      <w:sz w:val="32"/>
      <w:szCs w:val="20"/>
    </w:rPr>
  </w:style>
  <w:style w:type="paragraph" w:styleId="5">
    <w:name w:val="Date"/>
    <w:basedOn w:val="1"/>
    <w:next w:val="1"/>
    <w:link w:val="15"/>
    <w:unhideWhenUsed/>
    <w:qFormat/>
    <w:uiPriority w:val="99"/>
    <w:pPr>
      <w:ind w:left="100" w:leftChars="2500"/>
    </w:pPr>
  </w:style>
  <w:style w:type="paragraph" w:styleId="6">
    <w:name w:val="Balloon Text"/>
    <w:basedOn w:val="1"/>
    <w:link w:val="16"/>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Title"/>
    <w:basedOn w:val="1"/>
    <w:qFormat/>
    <w:uiPriority w:val="0"/>
    <w:pPr>
      <w:spacing w:before="240" w:after="60"/>
      <w:jc w:val="center"/>
    </w:pPr>
    <w:rPr>
      <w:rFonts w:ascii="Cambria" w:hAnsi="Cambria"/>
      <w:b/>
      <w:bCs/>
      <w:sz w:val="36"/>
      <w:szCs w:val="32"/>
    </w:rPr>
  </w:style>
  <w:style w:type="character" w:styleId="13">
    <w:name w:val="annotation reference"/>
    <w:unhideWhenUsed/>
    <w:qFormat/>
    <w:uiPriority w:val="0"/>
    <w:rPr>
      <w:sz w:val="21"/>
      <w:szCs w:val="21"/>
    </w:rPr>
  </w:style>
  <w:style w:type="character" w:customStyle="1" w:styleId="14">
    <w:name w:val="批注文字 Char"/>
    <w:link w:val="4"/>
    <w:qFormat/>
    <w:uiPriority w:val="0"/>
    <w:rPr>
      <w:rFonts w:eastAsia="方正仿宋_GBK"/>
      <w:snapToGrid w:val="0"/>
      <w:sz w:val="32"/>
    </w:rPr>
  </w:style>
  <w:style w:type="character" w:customStyle="1" w:styleId="15">
    <w:name w:val="日期 Char"/>
    <w:link w:val="5"/>
    <w:semiHidden/>
    <w:qFormat/>
    <w:uiPriority w:val="99"/>
    <w:rPr>
      <w:kern w:val="2"/>
      <w:sz w:val="21"/>
      <w:szCs w:val="24"/>
    </w:rPr>
  </w:style>
  <w:style w:type="character" w:customStyle="1" w:styleId="16">
    <w:name w:val="批注框文本 Char"/>
    <w:link w:val="6"/>
    <w:semiHidden/>
    <w:qFormat/>
    <w:uiPriority w:val="99"/>
    <w:rPr>
      <w:kern w:val="2"/>
      <w:sz w:val="18"/>
      <w:szCs w:val="18"/>
    </w:rPr>
  </w:style>
  <w:style w:type="character" w:customStyle="1" w:styleId="17">
    <w:name w:val="页脚 Char"/>
    <w:link w:val="7"/>
    <w:qFormat/>
    <w:uiPriority w:val="99"/>
    <w:rPr>
      <w:kern w:val="2"/>
      <w:sz w:val="18"/>
      <w:szCs w:val="18"/>
    </w:rPr>
  </w:style>
  <w:style w:type="character" w:customStyle="1" w:styleId="18">
    <w:name w:val="页眉 Char"/>
    <w:link w:val="8"/>
    <w:semiHidden/>
    <w:qFormat/>
    <w:uiPriority w:val="0"/>
    <w:rPr>
      <w:kern w:val="2"/>
      <w:sz w:val="18"/>
      <w:szCs w:val="18"/>
    </w:rPr>
  </w:style>
  <w:style w:type="character" w:customStyle="1" w:styleId="19">
    <w:name w:val="font11"/>
    <w:qFormat/>
    <w:uiPriority w:val="0"/>
    <w:rPr>
      <w:rFonts w:ascii="方正仿宋_GBK" w:hAnsi="方正仿宋_GBK" w:eastAsia="方正仿宋_GBK" w:cs="方正仿宋_GBK"/>
      <w:color w:val="000000"/>
      <w:sz w:val="28"/>
      <w:szCs w:val="28"/>
      <w:u w:val="none"/>
    </w:rPr>
  </w:style>
  <w:style w:type="paragraph" w:customStyle="1" w:styleId="20">
    <w:name w:val="密级"/>
    <w:basedOn w:val="1"/>
    <w:qFormat/>
    <w:uiPriority w:val="0"/>
    <w:pPr>
      <w:adjustRightInd w:val="0"/>
      <w:spacing w:line="425" w:lineRule="atLeast"/>
      <w:jc w:val="right"/>
    </w:pPr>
    <w:rPr>
      <w:rFonts w:ascii="黑体" w:eastAsia="黑体"/>
      <w:sz w:val="30"/>
    </w:rPr>
  </w:style>
  <w:style w:type="paragraph" w:customStyle="1" w:styleId="21">
    <w:name w:val="文头"/>
    <w:basedOn w:val="1"/>
    <w:qFormat/>
    <w:uiPriority w:val="0"/>
    <w:pPr>
      <w:tabs>
        <w:tab w:val="left" w:pos="6663"/>
      </w:tabs>
      <w:spacing w:after="800" w:line="1500" w:lineRule="atLeast"/>
      <w:ind w:left="511" w:right="227" w:hanging="284"/>
      <w:jc w:val="distribute"/>
    </w:pPr>
    <w:rPr>
      <w:rFonts w:ascii="汉鼎简大宋" w:eastAsia="汉鼎简大宋"/>
      <w:b/>
      <w:color w:val="FF0000"/>
      <w:w w:val="62"/>
      <w:sz w:val="140"/>
    </w:rPr>
  </w:style>
  <w:style w:type="paragraph" w:customStyle="1" w:styleId="22">
    <w:name w:val="红线"/>
    <w:basedOn w:val="2"/>
    <w:qFormat/>
    <w:uiPriority w:val="0"/>
    <w:pPr>
      <w:keepNext w:val="0"/>
      <w:keepLines w:val="0"/>
      <w:adjustRightInd w:val="0"/>
      <w:spacing w:before="0" w:after="851" w:line="227" w:lineRule="atLeast"/>
      <w:ind w:right="-142"/>
      <w:jc w:val="center"/>
      <w:outlineLvl w:val="9"/>
    </w:pPr>
    <w:rPr>
      <w:rFonts w:ascii="宋体"/>
      <w:bCs w:val="0"/>
      <w:kern w:val="0"/>
      <w:sz w:val="10"/>
      <w:szCs w:val="20"/>
    </w:rPr>
  </w:style>
  <w:style w:type="paragraph" w:styleId="23">
    <w:name w:val="List Paragraph"/>
    <w:basedOn w:val="1"/>
    <w:qFormat/>
    <w:uiPriority w:val="0"/>
    <w:pPr>
      <w:ind w:firstLine="420" w:firstLineChars="200"/>
    </w:pPr>
    <w:rPr>
      <w:rFonts w:ascii="Calibri" w:hAnsi="Calibri"/>
      <w:szCs w:val="22"/>
    </w:rPr>
  </w:style>
  <w:style w:type="paragraph" w:customStyle="1" w:styleId="24">
    <w:name w:val="_Style 21"/>
    <w:basedOn w:val="1"/>
    <w:next w:val="23"/>
    <w:qFormat/>
    <w:uiPriority w:val="0"/>
    <w:pPr>
      <w:ind w:firstLine="420" w:firstLineChars="200"/>
    </w:pPr>
    <w:rPr>
      <w:rFonts w:ascii="Calibri" w:hAnsi="Calibri"/>
      <w:szCs w:val="22"/>
    </w:rPr>
  </w:style>
  <w:style w:type="paragraph" w:customStyle="1" w:styleId="25">
    <w:name w:val="标题22"/>
    <w:basedOn w:val="3"/>
    <w:qFormat/>
    <w:uiPriority w:val="0"/>
    <w:pPr>
      <w:ind w:firstLine="0" w:firstLineChars="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324</Words>
  <Characters>1849</Characters>
  <Lines>15</Lines>
  <Paragraphs>4</Paragraphs>
  <TotalTime>17</TotalTime>
  <ScaleCrop>false</ScaleCrop>
  <LinksUpToDate>false</LinksUpToDate>
  <CharactersWithSpaces>2169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2023-12-05T08:54:00Z</dcterms:created>
  <dc:creator>Administrator</dc:creator>
  <cp:lastModifiedBy>winter tea</cp:lastModifiedBy>
  <cp:lastPrinted>2023-12-06T06:44:20Z</cp:lastPrinted>
  <dcterms:modified xsi:type="dcterms:W3CDTF">2023-12-06T06:47:35Z</dcterms:modified>
  <dc:title>关于如东县南黄海竞技基地——滩涂极限运动体验区海洋环境影响评价报告表的</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05AB57F2AE4A490C8CA7C1F1C858759D</vt:lpwstr>
  </property>
  <property fmtid="{D5CDD505-2E9C-101B-9397-08002B2CF9AE}" pid="4" name="commondata">
    <vt:lpwstr>eyJoZGlkIjoiOTI0ZDRhM2YxYWMzZWE1YzZiNGVjMDBmNTM1ODkzYmQifQ==</vt:lpwstr>
  </property>
</Properties>
</file>